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0"/>
        </w:tabs>
        <w:jc w:val="center"/>
        <w:rPr>
          <w:rFonts w:hint="eastAsia" w:ascii="仿宋_GB2312" w:eastAsia="仿宋_GB2312"/>
          <w:sz w:val="44"/>
          <w:szCs w:val="44"/>
        </w:rPr>
      </w:pPr>
      <w:r>
        <w:rPr>
          <w:rFonts w:hint="eastAsia" w:ascii="仿宋_GB2312" w:eastAsia="仿宋_GB2312"/>
          <w:bCs/>
          <w:sz w:val="44"/>
          <w:szCs w:val="44"/>
        </w:rPr>
        <w:t>义乌市基本医疗保险慢性病种核准携带资料</w:t>
      </w:r>
    </w:p>
    <w:tbl>
      <w:tblPr>
        <w:tblStyle w:val="5"/>
        <w:tblW w:w="14980" w:type="dxa"/>
        <w:tblInd w:w="93" w:type="dxa"/>
        <w:tblLayout w:type="autofit"/>
        <w:tblCellMar>
          <w:top w:w="0" w:type="dxa"/>
          <w:left w:w="108" w:type="dxa"/>
          <w:bottom w:w="0" w:type="dxa"/>
          <w:right w:w="108" w:type="dxa"/>
        </w:tblCellMar>
      </w:tblPr>
      <w:tblGrid>
        <w:gridCol w:w="520"/>
        <w:gridCol w:w="1200"/>
        <w:gridCol w:w="1120"/>
        <w:gridCol w:w="12140"/>
      </w:tblGrid>
      <w:tr>
        <w:tblPrEx>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病种类型</w:t>
            </w:r>
          </w:p>
        </w:tc>
        <w:tc>
          <w:tcPr>
            <w:tcW w:w="121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携带资料</w:t>
            </w:r>
          </w:p>
        </w:tc>
      </w:tr>
      <w:tr>
        <w:tblPrEx>
          <w:tblCellMar>
            <w:top w:w="0" w:type="dxa"/>
            <w:left w:w="108" w:type="dxa"/>
            <w:bottom w:w="0" w:type="dxa"/>
            <w:right w:w="108" w:type="dxa"/>
          </w:tblCellMar>
        </w:tblPrEx>
        <w:trPr>
          <w:trHeight w:val="797" w:hRule="atLeast"/>
        </w:trPr>
        <w:tc>
          <w:tcPr>
            <w:tcW w:w="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高血压</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FF0000"/>
                <w:kern w:val="0"/>
                <w:sz w:val="22"/>
                <w:szCs w:val="22"/>
                <w:lang w:eastAsia="zh-CN"/>
              </w:rPr>
            </w:pPr>
            <w:r>
              <w:rPr>
                <w:rFonts w:hint="eastAsia" w:ascii="宋体" w:hAnsi="宋体" w:cs="宋体"/>
                <w:color w:val="FF0000"/>
                <w:kern w:val="0"/>
                <w:sz w:val="22"/>
                <w:szCs w:val="22"/>
              </w:rPr>
              <w:t>门诊病历或住院记录、动态血压或血压监测记录</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心脏彩超或心电图或冠脉CT检查或冠脉造影或冠脉手术记录单</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头颅CT或MRI</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尿微量蛋白或24小时尿蛋白或肾功能</w:t>
            </w:r>
          </w:p>
        </w:tc>
      </w:tr>
      <w:tr>
        <w:tblPrEx>
          <w:tblCellMar>
            <w:top w:w="0" w:type="dxa"/>
            <w:left w:w="108" w:type="dxa"/>
            <w:bottom w:w="0" w:type="dxa"/>
            <w:right w:w="108" w:type="dxa"/>
          </w:tblCellMar>
        </w:tblPrEx>
        <w:trPr>
          <w:trHeight w:val="1218"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p>
            <w:pPr>
              <w:widowControl/>
              <w:jc w:val="center"/>
              <w:rPr>
                <w:rFonts w:ascii="宋体" w:hAnsi="宋体" w:cs="宋体"/>
                <w:color w:val="000000"/>
                <w:kern w:val="0"/>
                <w:sz w:val="22"/>
                <w:szCs w:val="22"/>
              </w:rPr>
            </w:pP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糖尿病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FF0000"/>
                <w:kern w:val="0"/>
                <w:sz w:val="22"/>
                <w:szCs w:val="22"/>
                <w:lang w:eastAsia="zh-CN"/>
              </w:rPr>
            </w:pPr>
            <w:r>
              <w:rPr>
                <w:rFonts w:hint="eastAsia" w:ascii="宋体" w:hAnsi="宋体" w:cs="宋体"/>
                <w:color w:val="FF0000"/>
                <w:kern w:val="0"/>
                <w:sz w:val="22"/>
                <w:szCs w:val="22"/>
              </w:rPr>
              <w:t>门诊病历或住院记录、门诊血糖测定（空腹≥3次、餐后≥3次）或住院血糖测量记录</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感染部位的诊断依据（指下肢感染溃烂或坏疽迁延三个月以上）</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心脏彩超或心电图运动试验或冠脉造影</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头颅CT或MRI</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尿微量蛋白或24小时尿蛋白或肾功能</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眼底镜检查或眼底照相</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肌电图</w:t>
            </w:r>
            <w:r>
              <w:rPr>
                <w:rFonts w:hint="eastAsia" w:ascii="宋体" w:hAnsi="宋体" w:cs="宋体"/>
                <w:color w:val="FF0000"/>
                <w:kern w:val="0"/>
                <w:sz w:val="22"/>
                <w:szCs w:val="22"/>
                <w:lang w:eastAsia="zh-CN"/>
              </w:rPr>
              <w:t>，</w:t>
            </w:r>
            <w:r>
              <w:rPr>
                <w:rFonts w:hint="eastAsia" w:ascii="宋体" w:hAnsi="宋体" w:cs="宋体"/>
                <w:color w:val="FF0000"/>
                <w:kern w:val="0"/>
                <w:sz w:val="22"/>
                <w:szCs w:val="22"/>
              </w:rPr>
              <w:t>动态血压或血压监测记录</w:t>
            </w:r>
          </w:p>
        </w:tc>
      </w:tr>
      <w:tr>
        <w:tblPrEx>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232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慢性病毒性活动性肝炎</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门诊病历或住院记录、肝功能、乙肝三系、HBV-DNA、HCV-RNA、抗-HCV</w:t>
            </w:r>
          </w:p>
        </w:tc>
      </w:tr>
      <w:tr>
        <w:tblPrEx>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肝硬化失代偿期</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门诊病历或住院记录、肝功能、凝血功能检查、肝脏影像学检查、胃镜检查、肝穿刺</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冠状动脉粥样硬化性心脏病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门诊病历或住院记录、心脏彩超、心电图、冠脉CT检查或冠脉造影或冠脉手术记录单、pro-BNP</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心脏瓣膜置换术后</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门诊病历或住院记录、心脏瓣膜置换术的手术记录</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慢性阻塞性肺疾病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门诊病历或住院记录、胸部影像学检查、肺功能检查</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慢性肺源性心脏病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门诊病历或住院记录、胸部影像学检查、心脏彩超</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顽固性哮喘</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门诊病历或住院记录、肺功能检查</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0</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中枢神经系统良性占位性病变</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门诊病历或住院记录、脑CT或MRI</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1</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活动期</w:t>
            </w:r>
            <w:r>
              <w:rPr>
                <w:rFonts w:hint="eastAsia" w:ascii="宋体" w:hAnsi="宋体" w:cs="宋体"/>
                <w:color w:val="000000"/>
                <w:kern w:val="0"/>
                <w:sz w:val="22"/>
                <w:szCs w:val="22"/>
                <w:lang w:val="en-US" w:eastAsia="zh-CN"/>
              </w:rPr>
              <w:t>结核病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专科医院门诊病历或住院记录、胸部影像学检查</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2</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重症肌无力</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三级综合医院住院病史记录</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3</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多发性硬化</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三级综合医院住院病史记录</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4</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肝豆状核变性</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三级综合医院住院病史记录</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5</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帕金森病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w:t>
            </w:r>
          </w:p>
        </w:tc>
      </w:tr>
      <w:tr>
        <w:tblPrEx>
          <w:tblCellMar>
            <w:top w:w="0" w:type="dxa"/>
            <w:left w:w="108" w:type="dxa"/>
            <w:bottom w:w="0" w:type="dxa"/>
            <w:right w:w="108" w:type="dxa"/>
          </w:tblCellMar>
        </w:tblPrEx>
        <w:trPr>
          <w:trHeight w:val="510" w:hRule="atLeast"/>
        </w:trPr>
        <w:tc>
          <w:tcPr>
            <w:tcW w:w="5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6</w:t>
            </w:r>
          </w:p>
        </w:tc>
        <w:tc>
          <w:tcPr>
            <w:tcW w:w="232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前列腺增生</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门诊病历或住院记录、IPSS评分表、前列腺影像学检查、尿动力学检查</w:t>
            </w:r>
          </w:p>
        </w:tc>
      </w:tr>
      <w:tr>
        <w:tblPrEx>
          <w:tblCellMar>
            <w:top w:w="0" w:type="dxa"/>
            <w:left w:w="108" w:type="dxa"/>
            <w:bottom w:w="0" w:type="dxa"/>
            <w:right w:w="108" w:type="dxa"/>
          </w:tblCellMar>
        </w:tblPrEx>
        <w:trPr>
          <w:trHeight w:val="510" w:hRule="atLeast"/>
        </w:trPr>
        <w:tc>
          <w:tcPr>
            <w:tcW w:w="5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120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甲状腺功能异常</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甲状腺功能亢进</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门诊病历或住院记录、甲状腺激素测定报告单、甲状腺B超</w:t>
            </w:r>
          </w:p>
        </w:tc>
      </w:tr>
      <w:tr>
        <w:tblPrEx>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甲状腺功能减低</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门诊病历或住院记录、甲状腺激素测定报告单、甲状腺B超</w:t>
            </w:r>
          </w:p>
        </w:tc>
      </w:tr>
      <w:tr>
        <w:tblPrEx>
          <w:tblCellMar>
            <w:top w:w="0" w:type="dxa"/>
            <w:left w:w="108" w:type="dxa"/>
            <w:bottom w:w="0" w:type="dxa"/>
            <w:right w:w="108" w:type="dxa"/>
          </w:tblCellMar>
        </w:tblPrEx>
        <w:trPr>
          <w:trHeight w:val="510" w:hRule="atLeast"/>
        </w:trPr>
        <w:tc>
          <w:tcPr>
            <w:tcW w:w="5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120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结缔组织病</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类风湿性关节炎</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门诊病历或住院记录、类风湿因子、抗环瓜氨酸肽抗体、关节影像学报告单</w:t>
            </w:r>
          </w:p>
        </w:tc>
      </w:tr>
      <w:tr>
        <w:tblPrEx>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强直性脊柱炎</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门诊病历或住院记录、HLA-27、骶髂关节影像学报告单</w:t>
            </w:r>
          </w:p>
        </w:tc>
      </w:tr>
      <w:tr>
        <w:tblPrEx>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干燥综合征</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门诊病历或住院记录、唇腺病理检查或涎腺功能检查、免疫学检查（抗SSA或抗SSB等）、伴并发症（肾、肺、消化、神经、心血管、血液系统等）相关检查报告单</w:t>
            </w:r>
          </w:p>
        </w:tc>
      </w:tr>
      <w:tr>
        <w:tblPrEx>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2"/>
                <w:szCs w:val="22"/>
              </w:rPr>
            </w:pPr>
          </w:p>
        </w:tc>
        <w:tc>
          <w:tcPr>
            <w:tcW w:w="12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硬皮病</w:t>
            </w:r>
          </w:p>
        </w:tc>
        <w:tc>
          <w:tcPr>
            <w:tcW w:w="121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病史记录及3个月以上的治疗史、免疫学检查（抗ACA或抗SCL-70D等）、伴并发症（胃肠道、呼吸系统、心脏等）相关检查报告</w:t>
            </w:r>
          </w:p>
        </w:tc>
      </w:tr>
    </w:tbl>
    <w:p>
      <w:pPr>
        <w:pStyle w:val="4"/>
        <w:adjustRightInd w:val="0"/>
        <w:snapToGrid w:val="0"/>
        <w:spacing w:before="0" w:beforeAutospacing="0" w:after="0" w:afterAutospacing="0"/>
        <w:rPr>
          <w:rFonts w:hint="eastAsia" w:ascii="仿宋_GB2312" w:eastAsia="仿宋_GB2312"/>
        </w:rPr>
      </w:pPr>
    </w:p>
    <w:p>
      <w:pPr>
        <w:adjustRightInd w:val="0"/>
        <w:snapToGrid w:val="0"/>
        <w:ind w:firstLine="480"/>
        <w:rPr>
          <w:rFonts w:hint="eastAsia" w:ascii="仿宋_GB2312" w:hAnsi="宋体" w:eastAsia="仿宋_GB2312" w:cs="宋体"/>
          <w:kern w:val="0"/>
          <w:sz w:val="24"/>
        </w:rPr>
      </w:pPr>
      <w:r>
        <w:rPr>
          <w:rFonts w:hint="eastAsia" w:ascii="仿宋_GB2312" w:hAnsi="宋体" w:eastAsia="仿宋_GB2312"/>
          <w:sz w:val="30"/>
          <w:szCs w:val="30"/>
        </w:rPr>
        <w:t>注</w:t>
      </w:r>
      <w:r>
        <w:rPr>
          <w:rFonts w:hint="eastAsia" w:ascii="仿宋_GB2312" w:hAnsi="宋体" w:eastAsia="仿宋_GB2312" w:cs="宋体"/>
          <w:kern w:val="0"/>
          <w:sz w:val="24"/>
        </w:rPr>
        <w:t>： 1、提供材料非原件的需加盖医院公章。</w:t>
      </w:r>
    </w:p>
    <w:p>
      <w:pPr>
        <w:adjustRightInd w:val="0"/>
        <w:snapToGrid w:val="0"/>
        <w:ind w:firstLine="480"/>
        <w:rPr>
          <w:rFonts w:hint="eastAsia" w:ascii="仿宋_GB2312" w:hAnsi="宋体" w:eastAsia="仿宋_GB2312" w:cs="宋体"/>
          <w:kern w:val="0"/>
          <w:sz w:val="24"/>
        </w:rPr>
      </w:pPr>
      <w:r>
        <w:rPr>
          <w:rFonts w:hint="eastAsia" w:ascii="仿宋_GB2312" w:hAnsi="宋体" w:eastAsia="仿宋_GB2312" w:cs="宋体"/>
          <w:kern w:val="0"/>
          <w:sz w:val="24"/>
        </w:rPr>
        <w:t xml:space="preserve">     2、申请人及代理人需携带身份证</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社会保障·市民卡</w:t>
      </w:r>
      <w:r>
        <w:rPr>
          <w:rFonts w:hint="eastAsia" w:ascii="仿宋_GB2312" w:hAnsi="宋体" w:eastAsia="仿宋_GB2312" w:cs="宋体"/>
          <w:color w:val="FF0000"/>
          <w:kern w:val="0"/>
          <w:sz w:val="24"/>
          <w:lang w:eastAsia="zh-CN"/>
        </w:rPr>
        <w:t>或医保电子凭证</w:t>
      </w:r>
      <w:r>
        <w:rPr>
          <w:rFonts w:hint="eastAsia" w:ascii="仿宋_GB2312" w:hAnsi="宋体" w:eastAsia="仿宋_GB2312" w:cs="宋体"/>
          <w:kern w:val="0"/>
          <w:sz w:val="24"/>
        </w:rPr>
        <w:t>。</w:t>
      </w:r>
    </w:p>
    <w:p>
      <w:pPr>
        <w:spacing w:line="400" w:lineRule="exact"/>
        <w:ind w:firstLine="480" w:firstLineChars="200"/>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xml:space="preserve">     3、</w:t>
      </w:r>
      <w:r>
        <w:rPr>
          <w:rFonts w:hint="eastAsia" w:ascii="仿宋_GB2312" w:hAnsi="宋体" w:eastAsia="仿宋_GB2312" w:cs="宋体"/>
          <w:kern w:val="0"/>
          <w:sz w:val="24"/>
          <w:lang w:val="en-US" w:eastAsia="zh-CN"/>
        </w:rPr>
        <w:t>参保人员在本地医院住院期间如果符合规定病种条件的，实现“无感智办”。义乌市外就医人员，可携带相关资料到义乌市二级及以上医院经相关专家审核后医院医保办办理，市医保中心在线审核通过后，由医院医保办直接制发慢特病种证。</w:t>
      </w:r>
    </w:p>
    <w:p>
      <w:pPr>
        <w:adjustRightInd w:val="0"/>
        <w:snapToGrid w:val="0"/>
        <w:ind w:firstLine="480"/>
        <w:rPr>
          <w:rFonts w:hint="eastAsia" w:ascii="仿宋_GB2312" w:hAnsi="宋体" w:eastAsia="宋体" w:cs="宋体"/>
          <w:kern w:val="0"/>
          <w:sz w:val="24"/>
          <w:lang w:eastAsia="zh-CN"/>
        </w:rPr>
      </w:pPr>
      <w:r>
        <w:rPr>
          <w:rFonts w:hint="eastAsia" w:ascii="仿宋_GB2312" w:hAnsi="宋体" w:eastAsia="仿宋_GB2312" w:cs="宋体"/>
          <w:kern w:val="0"/>
          <w:sz w:val="24"/>
        </w:rPr>
        <w:t xml:space="preserve">     4、</w:t>
      </w:r>
      <w:r>
        <w:rPr>
          <w:rFonts w:hint="eastAsia" w:ascii="宋体" w:hAnsi="宋体" w:cs="宋体"/>
          <w:color w:val="000000"/>
          <w:kern w:val="0"/>
          <w:sz w:val="22"/>
          <w:szCs w:val="22"/>
        </w:rPr>
        <w:t>化验项目原则上≥2次</w:t>
      </w:r>
      <w:r>
        <w:rPr>
          <w:rFonts w:hint="eastAsia" w:ascii="宋体" w:hAnsi="宋体" w:cs="宋体"/>
          <w:color w:val="000000"/>
          <w:kern w:val="0"/>
          <w:sz w:val="22"/>
          <w:szCs w:val="22"/>
          <w:lang w:eastAsia="zh-CN"/>
        </w:rPr>
        <w:t>。</w:t>
      </w:r>
      <w:bookmarkStart w:id="0" w:name="_GoBack"/>
      <w:bookmarkEnd w:id="0"/>
    </w:p>
    <w:p>
      <w:pPr>
        <w:pStyle w:val="4"/>
        <w:adjustRightInd w:val="0"/>
        <w:snapToGrid w:val="0"/>
        <w:spacing w:before="0" w:beforeAutospacing="0" w:after="0" w:afterAutospacing="0"/>
        <w:rPr>
          <w:rFonts w:hint="eastAsia" w:ascii="仿宋_GB2312" w:eastAsia="仿宋_GB2312"/>
        </w:rPr>
      </w:pPr>
    </w:p>
    <w:sectPr>
      <w:headerReference r:id="rId3" w:type="default"/>
      <w:pgSz w:w="16838" w:h="11906" w:orient="landscape"/>
      <w:pgMar w:top="-461" w:right="1247" w:bottom="599" w:left="1418" w:header="851" w:footer="992" w:gutter="0"/>
      <w:cols w:space="720" w:num="1"/>
      <w:docGrid w:type="linesAndChars" w:linePitch="4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40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ZTQzMWI3NzNhMzc1YzdjMTAwOTYwNWZjNTc1ZmEifQ=="/>
  </w:docVars>
  <w:rsids>
    <w:rsidRoot w:val="009C23BC"/>
    <w:rsid w:val="00021953"/>
    <w:rsid w:val="000221FD"/>
    <w:rsid w:val="00044C22"/>
    <w:rsid w:val="00052F55"/>
    <w:rsid w:val="00056A6D"/>
    <w:rsid w:val="000B1EEF"/>
    <w:rsid w:val="0013047B"/>
    <w:rsid w:val="00145EE1"/>
    <w:rsid w:val="00160ED3"/>
    <w:rsid w:val="0022177C"/>
    <w:rsid w:val="002C3553"/>
    <w:rsid w:val="00342D9A"/>
    <w:rsid w:val="00353EBE"/>
    <w:rsid w:val="00370760"/>
    <w:rsid w:val="003B45FF"/>
    <w:rsid w:val="0040584D"/>
    <w:rsid w:val="00493B07"/>
    <w:rsid w:val="004C2735"/>
    <w:rsid w:val="005537DC"/>
    <w:rsid w:val="005857B5"/>
    <w:rsid w:val="00621ED2"/>
    <w:rsid w:val="00636C72"/>
    <w:rsid w:val="006371F1"/>
    <w:rsid w:val="006A40E6"/>
    <w:rsid w:val="00700A89"/>
    <w:rsid w:val="00735BCC"/>
    <w:rsid w:val="007A7502"/>
    <w:rsid w:val="0088278B"/>
    <w:rsid w:val="008A6CFE"/>
    <w:rsid w:val="009C23BC"/>
    <w:rsid w:val="00A321DB"/>
    <w:rsid w:val="00AD62B4"/>
    <w:rsid w:val="00C668CF"/>
    <w:rsid w:val="00CA693A"/>
    <w:rsid w:val="00D31759"/>
    <w:rsid w:val="00DB7639"/>
    <w:rsid w:val="00E554B0"/>
    <w:rsid w:val="00E60F2E"/>
    <w:rsid w:val="00E97C7A"/>
    <w:rsid w:val="00F2528D"/>
    <w:rsid w:val="00FC4184"/>
    <w:rsid w:val="00FC5D66"/>
    <w:rsid w:val="00FC7592"/>
    <w:rsid w:val="161B335E"/>
    <w:rsid w:val="1A7F43BD"/>
    <w:rsid w:val="1DDC1B84"/>
    <w:rsid w:val="20E33BD4"/>
    <w:rsid w:val="28507226"/>
    <w:rsid w:val="2CC57DF3"/>
    <w:rsid w:val="32E556CD"/>
    <w:rsid w:val="330513C2"/>
    <w:rsid w:val="356F0B11"/>
    <w:rsid w:val="403A4AF1"/>
    <w:rsid w:val="51121503"/>
    <w:rsid w:val="539430F6"/>
    <w:rsid w:val="5A903ACB"/>
    <w:rsid w:val="5B74258A"/>
    <w:rsid w:val="6DA263DE"/>
    <w:rsid w:val="6E0062A9"/>
    <w:rsid w:val="7A9B0BBF"/>
    <w:rsid w:val="7B9D4F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1421</Words>
  <Characters>1486</Characters>
  <Lines>11</Lines>
  <Paragraphs>3</Paragraphs>
  <TotalTime>3</TotalTime>
  <ScaleCrop>false</ScaleCrop>
  <LinksUpToDate>false</LinksUpToDate>
  <CharactersWithSpaces>1502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2011-06-22T08:03:00Z</dcterms:created>
  <dc:creator>dell</dc:creator>
  <cp:lastModifiedBy>Lenovo</cp:lastModifiedBy>
  <cp:lastPrinted>2017-06-28T05:51:00Z</cp:lastPrinted>
  <dcterms:modified xsi:type="dcterms:W3CDTF">2023-02-13T07:15:26Z</dcterms:modified>
  <dc:title>城镇职工医疗保险特殊病种审批携带资料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C07D07BC17014DDBB7692E517EA74C6C</vt:lpwstr>
  </property>
</Properties>
</file>