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left="643" w:hanging="643"/>
        <w:jc w:val="center"/>
        <w:outlineLvl w:val="0"/>
        <w:rPr>
          <w:rFonts w:hint="eastAsia" w:ascii="新宋体" w:hAnsi="新宋体" w:eastAsia="宋体"/>
          <w:b/>
          <w:bCs/>
          <w:sz w:val="32"/>
          <w:szCs w:val="32"/>
          <w:lang w:eastAsia="zh-CN"/>
        </w:rPr>
      </w:pPr>
      <w:r>
        <w:rPr>
          <w:rFonts w:hint="eastAsia"/>
          <w:b/>
          <w:bCs/>
          <w:sz w:val="32"/>
          <w:szCs w:val="32"/>
        </w:rPr>
        <w:t>义乌市中心医院关于</w:t>
      </w:r>
      <w:r>
        <w:rPr>
          <w:rFonts w:hint="eastAsia"/>
          <w:b/>
          <w:bCs/>
          <w:sz w:val="32"/>
          <w:szCs w:val="32"/>
          <w:lang w:val="en-US" w:eastAsia="zh-CN"/>
        </w:rPr>
        <w:t>胃功能检测</w:t>
      </w:r>
      <w:r>
        <w:rPr>
          <w:rFonts w:hint="default" w:asciiTheme="minorAscii" w:hAnsiTheme="minorAscii"/>
          <w:b/>
          <w:bCs/>
          <w:sz w:val="32"/>
          <w:szCs w:val="32"/>
          <w:lang w:val="en-US" w:eastAsia="zh-CN"/>
        </w:rPr>
        <w:t>（G-17，PG-</w:t>
      </w:r>
      <w:r>
        <w:rPr>
          <w:rFonts w:hint="default" w:eastAsia="微软雅黑" w:cs="微软雅黑" w:asciiTheme="minorAscii" w:hAnsiTheme="minorAscii"/>
          <w:b/>
          <w:bCs/>
          <w:sz w:val="32"/>
          <w:szCs w:val="32"/>
          <w:lang w:val="en-US" w:eastAsia="zh-CN"/>
        </w:rPr>
        <w:t>Ⅰ</w:t>
      </w:r>
      <w:r>
        <w:rPr>
          <w:rFonts w:hint="default" w:asciiTheme="minorAscii" w:hAnsiTheme="minorAscii"/>
          <w:b/>
          <w:bCs/>
          <w:sz w:val="32"/>
          <w:szCs w:val="32"/>
          <w:lang w:val="en-US" w:eastAsia="zh-CN"/>
        </w:rPr>
        <w:t>，PG-</w:t>
      </w:r>
      <w:r>
        <w:rPr>
          <w:rFonts w:hint="default" w:eastAsia="微软雅黑" w:cs="微软雅黑" w:asciiTheme="minorAscii" w:hAnsiTheme="minorAscii"/>
          <w:b/>
          <w:bCs/>
          <w:sz w:val="32"/>
          <w:szCs w:val="32"/>
          <w:lang w:val="en-US" w:eastAsia="zh-CN"/>
        </w:rPr>
        <w:t>Ⅱ</w:t>
      </w:r>
      <w:r>
        <w:rPr>
          <w:rFonts w:hint="default" w:asciiTheme="minorAscii" w:hAnsiTheme="minorAscii"/>
          <w:b/>
          <w:bCs/>
          <w:sz w:val="32"/>
          <w:szCs w:val="32"/>
          <w:lang w:val="en-US" w:eastAsia="zh-CN"/>
        </w:rPr>
        <w:t>）</w:t>
      </w:r>
      <w:r>
        <w:rPr>
          <w:rFonts w:hint="eastAsia"/>
          <w:b/>
          <w:bCs/>
          <w:sz w:val="32"/>
          <w:szCs w:val="32"/>
          <w:lang w:val="en-US" w:eastAsia="zh-CN"/>
        </w:rPr>
        <w:t>试剂</w:t>
      </w:r>
      <w:r>
        <w:rPr>
          <w:rFonts w:hint="eastAsia" w:eastAsia="宋体" w:cs="Times New Roman"/>
          <w:b/>
          <w:bCs/>
          <w:sz w:val="32"/>
          <w:szCs w:val="32"/>
        </w:rPr>
        <w:t>的</w:t>
      </w:r>
      <w:r>
        <w:rPr>
          <w:rFonts w:hint="eastAsia" w:cs="Times New Roman"/>
          <w:b/>
          <w:bCs/>
          <w:sz w:val="32"/>
          <w:szCs w:val="32"/>
          <w:lang w:val="en-US" w:eastAsia="zh-CN"/>
        </w:rPr>
        <w:t>采购</w:t>
      </w:r>
      <w:r>
        <w:rPr>
          <w:rFonts w:hint="eastAsia"/>
          <w:b/>
          <w:bCs/>
          <w:sz w:val="32"/>
          <w:szCs w:val="32"/>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sz w:val="24"/>
          <w:szCs w:val="24"/>
        </w:rPr>
        <w:t>胃功能检测（G-17，PG-Ⅰ、PG-Ⅱ)</w:t>
      </w:r>
      <w:r>
        <w:rPr>
          <w:rFonts w:hint="eastAsia"/>
          <w:b w:val="0"/>
          <w:bCs w:val="0"/>
          <w:sz w:val="24"/>
          <w:szCs w:val="24"/>
          <w:lang w:val="en-US" w:eastAsia="zh-CN"/>
        </w:rPr>
        <w:t>试剂</w:t>
      </w:r>
      <w:r>
        <w:rPr>
          <w:rFonts w:hint="eastAsia" w:ascii="宋体" w:hAnsi="宋体" w:eastAsia="宋体" w:cs="Arial"/>
          <w:sz w:val="24"/>
          <w:szCs w:val="24"/>
        </w:rPr>
        <w:t>进行</w:t>
      </w:r>
      <w:r>
        <w:rPr>
          <w:rFonts w:hint="eastAsia" w:ascii="宋体" w:hAnsi="宋体" w:cs="Arial"/>
          <w:sz w:val="24"/>
          <w:szCs w:val="24"/>
          <w:lang w:val="en-US" w:eastAsia="zh-CN"/>
        </w:rPr>
        <w:t>询价采购</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3"/>
        <w:bidi w:val="0"/>
        <w:rPr>
          <w:rFonts w:hint="eastAsia"/>
          <w:sz w:val="24"/>
          <w:szCs w:val="24"/>
          <w:lang w:val="en-US" w:eastAsia="zh-CN"/>
        </w:rPr>
      </w:pPr>
      <w:r>
        <w:rPr>
          <w:rFonts w:hint="eastAsia"/>
          <w:sz w:val="24"/>
          <w:szCs w:val="24"/>
        </w:rPr>
        <w:t>义乌市中心医院胃功能检测（G-17，PG-Ⅰ、PG-Ⅱ)</w:t>
      </w:r>
      <w:r>
        <w:rPr>
          <w:rFonts w:hint="eastAsia"/>
          <w:b w:val="0"/>
          <w:bCs w:val="0"/>
          <w:sz w:val="24"/>
          <w:szCs w:val="24"/>
          <w:lang w:val="en-US" w:eastAsia="zh-CN"/>
        </w:rPr>
        <w:t>试剂</w:t>
      </w:r>
      <w:r>
        <w:rPr>
          <w:sz w:val="24"/>
          <w:szCs w:val="24"/>
        </w:rPr>
        <w:t>项目</w:t>
      </w:r>
      <w:r>
        <w:rPr>
          <w:rFonts w:hint="eastAsia"/>
          <w:sz w:val="24"/>
          <w:szCs w:val="24"/>
          <w:lang w:eastAsia="zh-CN"/>
        </w:rPr>
        <w:t>，</w:t>
      </w:r>
      <w:r>
        <w:rPr>
          <w:rFonts w:hint="eastAsia"/>
          <w:sz w:val="24"/>
          <w:szCs w:val="24"/>
          <w:lang w:val="en-US" w:eastAsia="zh-CN"/>
        </w:rPr>
        <w:t>本项目包括</w:t>
      </w:r>
      <w:r>
        <w:rPr>
          <w:rFonts w:hint="eastAsia"/>
          <w:sz w:val="24"/>
          <w:szCs w:val="24"/>
        </w:rPr>
        <w:t>胃功能检测（G-17，PG-Ⅰ、PG-Ⅱ)</w:t>
      </w:r>
      <w:r>
        <w:rPr>
          <w:rFonts w:hint="eastAsia"/>
          <w:b w:val="0"/>
          <w:bCs w:val="0"/>
          <w:sz w:val="24"/>
          <w:szCs w:val="24"/>
          <w:lang w:val="en-US" w:eastAsia="zh-CN"/>
        </w:rPr>
        <w:t>试剂及同品牌的化学发光仪</w:t>
      </w:r>
      <w:r>
        <w:rPr>
          <w:rFonts w:hint="eastAsia"/>
          <w:sz w:val="24"/>
          <w:szCs w:val="24"/>
          <w:lang w:val="en-US" w:eastAsia="zh-CN"/>
        </w:rPr>
        <w:t>。详情见下表。</w:t>
      </w:r>
    </w:p>
    <w:p>
      <w:pPr>
        <w:pStyle w:val="13"/>
        <w:bidi w:val="0"/>
        <w:rPr>
          <w:rFonts w:hint="default"/>
          <w:sz w:val="24"/>
          <w:szCs w:val="24"/>
          <w:lang w:val="en-US" w:eastAsia="zh-CN"/>
        </w:rPr>
      </w:pPr>
      <w:r>
        <w:rPr>
          <w:rFonts w:hint="eastAsia"/>
          <w:sz w:val="24"/>
          <w:szCs w:val="24"/>
          <w:lang w:val="en-US" w:eastAsia="zh-CN"/>
        </w:rPr>
        <w:t>1.项目一览表</w:t>
      </w:r>
    </w:p>
    <w:tbl>
      <w:tblPr>
        <w:tblStyle w:val="9"/>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2796"/>
        <w:gridCol w:w="1487"/>
        <w:gridCol w:w="156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w:t>
            </w:r>
          </w:p>
        </w:tc>
        <w:tc>
          <w:tcPr>
            <w:tcW w:w="2796"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分项</w:t>
            </w:r>
          </w:p>
        </w:tc>
        <w:tc>
          <w:tcPr>
            <w:tcW w:w="1487"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设备</w:t>
            </w:r>
          </w:p>
        </w:tc>
        <w:tc>
          <w:tcPr>
            <w:tcW w:w="1567"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结算方式</w:t>
            </w:r>
          </w:p>
        </w:tc>
        <w:tc>
          <w:tcPr>
            <w:tcW w:w="1420" w:type="dxa"/>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86"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sz w:val="24"/>
                <w:szCs w:val="24"/>
                <w:lang w:val="en-US" w:eastAsia="zh-CN"/>
              </w:rPr>
              <w:t>胃功能检测</w:t>
            </w:r>
          </w:p>
        </w:tc>
        <w:tc>
          <w:tcPr>
            <w:tcW w:w="2796"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胃泌素-17（</w:t>
            </w:r>
            <w:r>
              <w:rPr>
                <w:rFonts w:hint="eastAsia"/>
                <w:sz w:val="24"/>
                <w:szCs w:val="24"/>
                <w:lang w:val="en-US" w:eastAsia="zh-CN"/>
              </w:rPr>
              <w:t>G-17</w:t>
            </w:r>
            <w:r>
              <w:rPr>
                <w:rFonts w:hint="eastAsia" w:asciiTheme="minorEastAsia" w:hAnsiTheme="minorEastAsia" w:eastAsiaTheme="minorEastAsia" w:cstheme="minorEastAsia"/>
                <w:sz w:val="24"/>
                <w:szCs w:val="24"/>
                <w:lang w:val="en-US" w:eastAsia="zh-CN"/>
              </w:rPr>
              <w:t>）</w:t>
            </w:r>
          </w:p>
        </w:tc>
        <w:tc>
          <w:tcPr>
            <w:tcW w:w="1487"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b w:val="0"/>
                <w:bCs w:val="0"/>
                <w:sz w:val="24"/>
                <w:szCs w:val="24"/>
                <w:lang w:val="en-US" w:eastAsia="zh-CN"/>
              </w:rPr>
              <w:t>化学发光仪</w:t>
            </w:r>
          </w:p>
        </w:tc>
        <w:tc>
          <w:tcPr>
            <w:tcW w:w="1567"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HIS收费结算</w:t>
            </w:r>
          </w:p>
        </w:tc>
        <w:tc>
          <w:tcPr>
            <w:tcW w:w="1420"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29%（含质控品、校准品）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86" w:type="dxa"/>
            <w:vMerge w:val="continue"/>
            <w:vAlign w:val="center"/>
          </w:tcPr>
          <w:p>
            <w:pPr>
              <w:pStyle w:val="14"/>
              <w:bidi w:val="0"/>
              <w:ind w:left="0" w:leftChars="0" w:firstLine="0" w:firstLineChars="0"/>
              <w:jc w:val="center"/>
            </w:pPr>
          </w:p>
        </w:tc>
        <w:tc>
          <w:tcPr>
            <w:tcW w:w="2796"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胃蛋白酶原-</w:t>
            </w:r>
            <w:r>
              <w:rPr>
                <w:rFonts w:hint="eastAsia"/>
                <w:sz w:val="24"/>
                <w:szCs w:val="24"/>
                <w:lang w:val="en-US" w:eastAsia="zh-CN"/>
              </w:rPr>
              <w:t>Ⅰ</w:t>
            </w:r>
            <w:r>
              <w:rPr>
                <w:rFonts w:hint="eastAsia" w:asciiTheme="minorEastAsia" w:hAnsiTheme="minorEastAsia" w:eastAsiaTheme="minorEastAsia" w:cstheme="minorEastAsia"/>
                <w:sz w:val="24"/>
                <w:szCs w:val="24"/>
                <w:lang w:val="en-US" w:eastAsia="zh-CN"/>
              </w:rPr>
              <w:t>（</w:t>
            </w:r>
            <w:r>
              <w:rPr>
                <w:rFonts w:hint="eastAsia"/>
                <w:sz w:val="24"/>
                <w:szCs w:val="24"/>
                <w:lang w:val="en-US" w:eastAsia="zh-CN"/>
              </w:rPr>
              <w:t>PG-Ⅰ</w:t>
            </w:r>
            <w:r>
              <w:rPr>
                <w:rFonts w:hint="eastAsia" w:asciiTheme="minorEastAsia" w:hAnsiTheme="minorEastAsia" w:eastAsiaTheme="minorEastAsia" w:cstheme="minorEastAsia"/>
                <w:sz w:val="24"/>
                <w:szCs w:val="24"/>
                <w:lang w:val="en-US" w:eastAsia="zh-CN"/>
              </w:rPr>
              <w:t>）</w:t>
            </w:r>
          </w:p>
        </w:tc>
        <w:tc>
          <w:tcPr>
            <w:tcW w:w="1487"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1567"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1420"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86"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796"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胃蛋白酶原-</w:t>
            </w:r>
            <w:r>
              <w:rPr>
                <w:rFonts w:hint="eastAsia"/>
                <w:sz w:val="24"/>
                <w:szCs w:val="24"/>
                <w:lang w:val="en-US" w:eastAsia="zh-CN"/>
              </w:rPr>
              <w:t>Ⅱ</w:t>
            </w:r>
            <w:r>
              <w:rPr>
                <w:rFonts w:hint="eastAsia" w:asciiTheme="minorEastAsia" w:hAnsiTheme="minorEastAsia" w:eastAsiaTheme="minorEastAsia" w:cstheme="minorEastAsia"/>
                <w:sz w:val="24"/>
                <w:szCs w:val="24"/>
                <w:lang w:val="en-US" w:eastAsia="zh-CN"/>
              </w:rPr>
              <w:t>（</w:t>
            </w:r>
            <w:r>
              <w:rPr>
                <w:rFonts w:hint="eastAsia"/>
                <w:sz w:val="24"/>
                <w:szCs w:val="24"/>
                <w:lang w:val="en-US" w:eastAsia="zh-CN"/>
              </w:rPr>
              <w:t>PG-Ⅱ</w:t>
            </w:r>
            <w:r>
              <w:rPr>
                <w:rFonts w:hint="eastAsia" w:asciiTheme="minorEastAsia" w:hAnsiTheme="minorEastAsia" w:eastAsiaTheme="minorEastAsia" w:cstheme="minorEastAsia"/>
                <w:sz w:val="24"/>
                <w:szCs w:val="24"/>
                <w:lang w:val="en-US" w:eastAsia="zh-CN"/>
              </w:rPr>
              <w:t>）</w:t>
            </w:r>
          </w:p>
        </w:tc>
        <w:tc>
          <w:tcPr>
            <w:tcW w:w="1487"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1567"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1420"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bl>
    <w:p>
      <w:pPr>
        <w:pStyle w:val="13"/>
        <w:numPr>
          <w:ilvl w:val="0"/>
          <w:numId w:val="2"/>
        </w:numPr>
        <w:bidi w:val="0"/>
        <w:rPr>
          <w:rFonts w:hint="eastAsia"/>
          <w:b w:val="0"/>
          <w:bCs w:val="0"/>
          <w:sz w:val="24"/>
          <w:szCs w:val="24"/>
          <w:lang w:val="en-US" w:eastAsia="zh-CN"/>
        </w:rPr>
      </w:pPr>
      <w:r>
        <w:rPr>
          <w:rFonts w:hint="eastAsia"/>
          <w:b w:val="0"/>
          <w:bCs w:val="0"/>
          <w:sz w:val="24"/>
          <w:szCs w:val="24"/>
          <w:lang w:val="en-US" w:eastAsia="zh-CN"/>
        </w:rPr>
        <w:t>化学发光仪需求参数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
        <w:gridCol w:w="7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2"/>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一、技术参数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*1</w:t>
            </w:r>
          </w:p>
        </w:tc>
        <w:tc>
          <w:tcPr>
            <w:tcW w:w="7548"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方法学：碱性磷酸酶体系化学发光法</w:t>
            </w:r>
          </w:p>
        </w:tc>
      </w:tr>
      <w:tr>
        <w:tblPrEx>
          <w:tblCellMar>
            <w:top w:w="0" w:type="dxa"/>
            <w:left w:w="108" w:type="dxa"/>
            <w:bottom w:w="0" w:type="dxa"/>
            <w:right w:w="108" w:type="dxa"/>
          </w:tblCellMar>
        </w:tblPrEx>
        <w:tc>
          <w:tcPr>
            <w:tcW w:w="974"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*2</w:t>
            </w:r>
          </w:p>
        </w:tc>
        <w:tc>
          <w:tcPr>
            <w:tcW w:w="7548"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单机检测速度：≥600T/h</w:t>
            </w:r>
          </w:p>
        </w:tc>
      </w:tr>
      <w:tr>
        <w:tblPrEx>
          <w:tblCellMar>
            <w:top w:w="0" w:type="dxa"/>
            <w:left w:w="108" w:type="dxa"/>
            <w:bottom w:w="0" w:type="dxa"/>
            <w:right w:w="108" w:type="dxa"/>
          </w:tblCellMar>
        </w:tblPrEx>
        <w:tc>
          <w:tcPr>
            <w:tcW w:w="974"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3</w:t>
            </w:r>
          </w:p>
        </w:tc>
        <w:tc>
          <w:tcPr>
            <w:tcW w:w="7548"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单机样本位：≥360个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4</w:t>
            </w:r>
          </w:p>
        </w:tc>
        <w:tc>
          <w:tcPr>
            <w:tcW w:w="7548"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单机试剂位：≥40个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5</w:t>
            </w:r>
          </w:p>
        </w:tc>
        <w:tc>
          <w:tcPr>
            <w:tcW w:w="7548"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可与LIS接口连接，支持双向通讯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6</w:t>
            </w:r>
          </w:p>
        </w:tc>
        <w:tc>
          <w:tcPr>
            <w:tcW w:w="7548"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试剂开瓶有效期：≥31天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7</w:t>
            </w:r>
          </w:p>
        </w:tc>
        <w:tc>
          <w:tcPr>
            <w:tcW w:w="7548"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可接入流水线，轨道式进样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*8</w:t>
            </w:r>
          </w:p>
        </w:tc>
        <w:tc>
          <w:tcPr>
            <w:tcW w:w="7548"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常规全自动发光仪器（落地式，非POCT仪）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9</w:t>
            </w:r>
          </w:p>
        </w:tc>
        <w:tc>
          <w:tcPr>
            <w:tcW w:w="7548"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省内有厂家认证的驻地工程师，设备故障可半小时内响应，12小时到场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二、配置需求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*1</w:t>
            </w:r>
          </w:p>
        </w:tc>
        <w:tc>
          <w:tcPr>
            <w:tcW w:w="7548"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化学发光仪主机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2</w:t>
            </w:r>
          </w:p>
        </w:tc>
        <w:tc>
          <w:tcPr>
            <w:tcW w:w="7548"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3</w:t>
            </w:r>
          </w:p>
        </w:tc>
        <w:tc>
          <w:tcPr>
            <w:tcW w:w="7548"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LIS接口费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三、质保期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1</w:t>
            </w:r>
          </w:p>
        </w:tc>
        <w:tc>
          <w:tcPr>
            <w:tcW w:w="7548"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试剂供应期间终身质保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四、其他需求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1</w:t>
            </w:r>
          </w:p>
        </w:tc>
        <w:tc>
          <w:tcPr>
            <w:tcW w:w="7548" w:type="dxa"/>
          </w:tcPr>
          <w:p>
            <w:pPr>
              <w:pStyle w:val="13"/>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随设备增配等额试剂</w:t>
            </w:r>
          </w:p>
        </w:tc>
      </w:tr>
    </w:tbl>
    <w:p>
      <w:pPr>
        <w:pStyle w:val="13"/>
        <w:numPr>
          <w:ilvl w:val="0"/>
          <w:numId w:val="0"/>
        </w:numPr>
        <w:bidi w:val="0"/>
        <w:rPr>
          <w:rFonts w:hint="default"/>
          <w:b w:val="0"/>
          <w:bCs w:val="0"/>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综合评分法</w:t>
      </w:r>
      <w:r>
        <w:rPr>
          <w:rFonts w:hint="eastAsia" w:ascii="宋体" w:hAnsi="宋体" w:eastAsia="宋体" w:cs="Arial"/>
          <w:b w:val="0"/>
          <w:bCs w:val="0"/>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default" w:ascii="新宋体" w:hAnsi="新宋体" w:eastAsia="新宋体"/>
          <w:b w:val="0"/>
          <w:bCs w:val="0"/>
          <w:sz w:val="24"/>
          <w:szCs w:val="24"/>
          <w:lang w:val="en-US" w:eastAsia="zh-CN"/>
        </w:rPr>
      </w:pPr>
      <w:r>
        <w:rPr>
          <w:rFonts w:hint="eastAsia" w:ascii="新宋体" w:hAnsi="新宋体" w:eastAsia="新宋体"/>
          <w:b/>
          <w:bCs/>
          <w:sz w:val="24"/>
          <w:szCs w:val="24"/>
        </w:rPr>
        <w:t>三、采购预算：</w:t>
      </w:r>
      <w:r>
        <w:rPr>
          <w:rFonts w:hint="eastAsia"/>
          <w:sz w:val="24"/>
          <w:szCs w:val="24"/>
          <w:lang w:val="en-US" w:eastAsia="zh-CN"/>
        </w:rPr>
        <w:t>胃功能检测（G-17，PG-Ⅰ、PG-Ⅱ)</w:t>
      </w:r>
      <w:r>
        <w:rPr>
          <w:rFonts w:hint="eastAsia"/>
          <w:b w:val="0"/>
          <w:bCs w:val="0"/>
          <w:sz w:val="24"/>
          <w:szCs w:val="24"/>
          <w:lang w:val="en-US" w:eastAsia="zh-CN"/>
        </w:rPr>
        <w:t>试剂按HIS收费的29%结算</w:t>
      </w:r>
      <w:r>
        <w:rPr>
          <w:rFonts w:hint="eastAsia" w:ascii="新宋体" w:hAnsi="新宋体" w:eastAsia="新宋体"/>
          <w:b w:val="0"/>
          <w:bCs w:val="0"/>
          <w:sz w:val="24"/>
          <w:szCs w:val="24"/>
          <w:lang w:val="en-US" w:eastAsia="zh-CN"/>
        </w:rPr>
        <w:t>。</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4、该行业国家规定必备的资质、资格。</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5、投标单位应具有完善的销售供应和售后服务的保障体系，接到供货通知后,须72小时内送货；加急物资需随叫随送。</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6、产品送货当日距产品失效期不小于6个月（特殊试剂剩余有效期不得少于50%）。</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7、配送由投标单位或投标单位委托的配送企业负责，全程冷链配送，并搬运到指定位置；物品包装破损或质量有问题要求无条件更换。批间差必须符合产品说明书。</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default" w:ascii="新宋体" w:hAnsi="新宋体" w:eastAsia="新宋体"/>
          <w:b/>
          <w:bCs/>
          <w:sz w:val="24"/>
          <w:szCs w:val="24"/>
          <w:lang w:val="en-US" w:eastAsia="zh-CN"/>
        </w:rPr>
      </w:pPr>
      <w:r>
        <w:rPr>
          <w:rFonts w:hint="eastAsia" w:ascii="新宋体" w:hAnsi="新宋体" w:eastAsia="新宋体"/>
          <w:b/>
          <w:bCs/>
          <w:sz w:val="24"/>
          <w:szCs w:val="24"/>
          <w:lang w:val="en-US" w:eastAsia="zh-CN"/>
        </w:rPr>
        <w:t>五、评分办法</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本项目总分为100分。其中技术分70分、商务报价30分。合格投标人的综合得分为各部分项目汇总得分，中标候选资格按综合得分由高到低顺序排列，得分相同的，按投标报价由低到高顺序排列；综合得分且投标报价相同的，按技术分的优劣顺序排列。排名第一的投标人为中标候选人，排名第二的投标人为候补中标候选人，其他投标人中标候选资格依次类推。</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技术分满分为70分，分值分配见表格。评标委员会根据表格，对各投标单位的技术标进行书面审核和评论后，由各专家独立酌情给分评标委员会根据评分细则，对各投标人的技术部分进行书面审核和评论后，由各专家独立酌情给分，打分时保留小数1位，每人一份评分表，并签名。在统计得分时，如果发现某一单项评分超过评分标准规定的分值范围，则该张评分表无效。投标人最终得分为评标委员会所有成员的有效评分的算术平均值，计算时保留小数2位。</w:t>
      </w:r>
    </w:p>
    <w:tbl>
      <w:tblPr>
        <w:tblStyle w:val="8"/>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7"/>
        <w:gridCol w:w="1007"/>
        <w:gridCol w:w="6481"/>
        <w:gridCol w:w="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268" w:type="pct"/>
            <w:vMerge w:val="restart"/>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技术标评分</w:t>
            </w:r>
          </w:p>
        </w:tc>
        <w:tc>
          <w:tcPr>
            <w:tcW w:w="590" w:type="pct"/>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lang w:eastAsia="zh-CN"/>
              </w:rPr>
            </w:pPr>
            <w:r>
              <w:rPr>
                <w:rFonts w:hint="eastAsia" w:ascii="仿宋" w:hAnsi="仿宋" w:eastAsia="仿宋" w:cs="仿宋"/>
                <w:b/>
                <w:bCs/>
                <w:i w:val="0"/>
                <w:iCs w:val="0"/>
                <w:color w:val="000000"/>
                <w:sz w:val="24"/>
                <w:szCs w:val="24"/>
                <w:highlight w:val="none"/>
                <w:u w:val="none"/>
                <w:lang w:eastAsia="zh-CN"/>
              </w:rPr>
              <w:t>序号</w:t>
            </w:r>
          </w:p>
        </w:tc>
        <w:tc>
          <w:tcPr>
            <w:tcW w:w="3803" w:type="pct"/>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4"/>
                <w:szCs w:val="24"/>
                <w:highlight w:val="none"/>
                <w:u w:val="none"/>
                <w:lang w:val="en-US" w:eastAsia="zh-CN" w:bidi="ar"/>
              </w:rPr>
              <w:t>评分标准</w:t>
            </w:r>
          </w:p>
        </w:tc>
        <w:tc>
          <w:tcPr>
            <w:tcW w:w="337" w:type="pct"/>
            <w:tcBorders>
              <w:top w:val="single" w:color="auto" w:sz="4" w:space="0"/>
              <w:left w:val="single" w:color="auto" w:sz="4"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1" w:hRule="atLeast"/>
          <w:jc w:val="center"/>
        </w:trPr>
        <w:tc>
          <w:tcPr>
            <w:tcW w:w="268" w:type="pct"/>
            <w:vMerge w:val="continue"/>
            <w:tcBorders>
              <w:left w:val="single" w:color="000000" w:sz="8" w:space="0"/>
              <w:right w:val="single" w:color="auto"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w:t>
            </w:r>
          </w:p>
        </w:tc>
        <w:tc>
          <w:tcPr>
            <w:tcW w:w="38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质保期：满足招标文件要求得5分，不满足不得分。</w:t>
            </w:r>
          </w:p>
        </w:tc>
        <w:tc>
          <w:tcPr>
            <w:tcW w:w="337"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7" w:hRule="atLeast"/>
          <w:jc w:val="center"/>
        </w:trPr>
        <w:tc>
          <w:tcPr>
            <w:tcW w:w="268" w:type="pct"/>
            <w:vMerge w:val="continue"/>
            <w:tcBorders>
              <w:left w:val="single" w:color="000000" w:sz="8" w:space="0"/>
              <w:right w:val="single" w:color="auto"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2</w:t>
            </w:r>
          </w:p>
        </w:tc>
        <w:tc>
          <w:tcPr>
            <w:tcW w:w="38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业绩：</w:t>
            </w:r>
            <w:r>
              <w:rPr>
                <w:rFonts w:hint="eastAsia" w:ascii="仿宋" w:hAnsi="仿宋" w:eastAsia="仿宋" w:cs="仿宋"/>
                <w:color w:val="auto"/>
                <w:sz w:val="24"/>
                <w:szCs w:val="24"/>
                <w:highlight w:val="none"/>
              </w:rPr>
              <w:t>投标人自</w:t>
            </w:r>
            <w:r>
              <w:rPr>
                <w:rFonts w:hint="eastAsia" w:ascii="仿宋" w:hAnsi="仿宋" w:eastAsia="仿宋" w:cs="仿宋"/>
                <w:color w:val="auto"/>
                <w:sz w:val="24"/>
                <w:szCs w:val="24"/>
                <w:highlight w:val="none"/>
                <w:lang w:val="en-US" w:eastAsia="zh-CN"/>
              </w:rPr>
              <w:t>2021</w:t>
            </w:r>
            <w:r>
              <w:rPr>
                <w:rFonts w:hint="eastAsia" w:ascii="仿宋" w:hAnsi="仿宋" w:eastAsia="仿宋" w:cs="仿宋"/>
                <w:color w:val="auto"/>
                <w:sz w:val="24"/>
                <w:szCs w:val="24"/>
                <w:highlight w:val="none"/>
              </w:rPr>
              <w:t>年1月1日以来（以合同签订时间为准）类似合同（最高得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份业绩证明材料</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以</w:t>
            </w:r>
            <w:r>
              <w:rPr>
                <w:rFonts w:hint="eastAsia" w:ascii="仿宋" w:hAnsi="仿宋" w:eastAsia="仿宋" w:cs="仿宋"/>
                <w:color w:val="auto"/>
                <w:sz w:val="24"/>
                <w:szCs w:val="24"/>
                <w:highlight w:val="none"/>
              </w:rPr>
              <w:t>合同复印件</w:t>
            </w:r>
            <w:r>
              <w:rPr>
                <w:rFonts w:hint="eastAsia" w:ascii="仿宋" w:hAnsi="仿宋" w:eastAsia="仿宋" w:cs="仿宋"/>
                <w:color w:val="auto"/>
                <w:sz w:val="24"/>
                <w:szCs w:val="24"/>
                <w:highlight w:val="none"/>
                <w:lang w:val="en-US" w:eastAsia="zh-CN"/>
              </w:rPr>
              <w:t>为准）</w:t>
            </w:r>
          </w:p>
        </w:tc>
        <w:tc>
          <w:tcPr>
            <w:tcW w:w="337" w:type="pct"/>
            <w:tcBorders>
              <w:top w:val="single" w:color="auto" w:sz="4" w:space="0"/>
              <w:left w:val="single" w:color="auto"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68" w:type="pct"/>
            <w:vMerge w:val="continue"/>
            <w:tcBorders>
              <w:left w:val="single" w:color="000000" w:sz="8" w:space="0"/>
              <w:right w:val="single" w:color="auto"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3</w:t>
            </w:r>
          </w:p>
        </w:tc>
        <w:tc>
          <w:tcPr>
            <w:tcW w:w="38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设备技术参数与功能配置：满足或明显优于招标文件明确的全部技术条款要求得24分，标*技术条款不符合技术要求（负偏离）得0分、非标*技术条款低于技术要求（负偏离）扣3分/项（24分起扣，含配置），扣完为止本项打分最高得24分,最低得0分。</w:t>
            </w:r>
          </w:p>
        </w:tc>
        <w:tc>
          <w:tcPr>
            <w:tcW w:w="337" w:type="pct"/>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268" w:type="pct"/>
            <w:vMerge w:val="continue"/>
            <w:tcBorders>
              <w:left w:val="single" w:color="000000" w:sz="8" w:space="0"/>
              <w:right w:val="single" w:color="auto"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4</w:t>
            </w:r>
          </w:p>
        </w:tc>
        <w:tc>
          <w:tcPr>
            <w:tcW w:w="380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8"/>
              <w:keepNext w:val="0"/>
              <w:keepLines w:val="0"/>
              <w:pageBreakBefore w:val="0"/>
              <w:kinsoku/>
              <w:wordWrap/>
              <w:overflowPunct/>
              <w:topLinePunct w:val="0"/>
              <w:autoSpaceDE/>
              <w:autoSpaceDN/>
              <w:bidi w:val="0"/>
              <w:adjustRightInd/>
              <w:snapToGrid/>
              <w:spacing w:before="44" w:line="360" w:lineRule="auto"/>
              <w:ind w:right="152"/>
              <w:textAlignment w:val="auto"/>
              <w:rPr>
                <w:rFonts w:hint="default" w:ascii="仿宋" w:hAnsi="仿宋" w:eastAsia="仿宋" w:cs="仿宋"/>
                <w:color w:val="auto"/>
                <w:kern w:val="2"/>
                <w:sz w:val="24"/>
                <w:szCs w:val="24"/>
                <w:highlight w:val="none"/>
                <w:lang w:val="en-US" w:eastAsia="zh-CN" w:bidi="ar-SA"/>
              </w:rPr>
            </w:pPr>
            <w:r>
              <w:rPr>
                <w:rFonts w:hint="default" w:ascii="仿宋" w:hAnsi="仿宋" w:eastAsia="仿宋" w:cs="仿宋"/>
                <w:color w:val="auto"/>
                <w:kern w:val="2"/>
                <w:sz w:val="24"/>
                <w:szCs w:val="24"/>
                <w:highlight w:val="none"/>
                <w:lang w:val="en-US" w:eastAsia="zh-CN" w:bidi="ar-SA"/>
              </w:rPr>
              <w:t>根据投标设备的技术先进性、易用性、稳定性进行评价，考虑所投产品的成熟性、用户认可度等方面</w:t>
            </w:r>
            <w:r>
              <w:rPr>
                <w:rFonts w:hint="eastAsia" w:cs="仿宋"/>
                <w:color w:val="auto"/>
                <w:kern w:val="2"/>
                <w:sz w:val="24"/>
                <w:szCs w:val="24"/>
                <w:highlight w:val="none"/>
                <w:lang w:val="en-US" w:eastAsia="zh-CN" w:bidi="ar-SA"/>
              </w:rPr>
              <w:t>排序</w:t>
            </w:r>
            <w:r>
              <w:rPr>
                <w:rFonts w:hint="default" w:ascii="仿宋" w:hAnsi="仿宋" w:eastAsia="仿宋" w:cs="仿宋"/>
                <w:color w:val="auto"/>
                <w:kern w:val="2"/>
                <w:sz w:val="24"/>
                <w:szCs w:val="24"/>
                <w:highlight w:val="none"/>
                <w:lang w:val="en-US" w:eastAsia="zh-CN" w:bidi="ar-SA"/>
              </w:rPr>
              <w:t>；</w:t>
            </w:r>
            <w:r>
              <w:rPr>
                <w:rFonts w:hint="eastAsia" w:cs="仿宋"/>
                <w:color w:val="auto"/>
                <w:kern w:val="2"/>
                <w:sz w:val="24"/>
                <w:szCs w:val="24"/>
                <w:highlight w:val="none"/>
                <w:lang w:val="en-US" w:eastAsia="zh-CN" w:bidi="ar-SA"/>
              </w:rPr>
              <w:t>在所有有效投标单位中排名第一得20分，排名第二得15分，排名第三得10分，往后酌情给</w:t>
            </w:r>
            <w:r>
              <w:rPr>
                <w:rFonts w:hint="default" w:ascii="仿宋" w:hAnsi="仿宋" w:eastAsia="仿宋" w:cs="仿宋"/>
                <w:color w:val="auto"/>
                <w:kern w:val="2"/>
                <w:sz w:val="24"/>
                <w:szCs w:val="24"/>
                <w:highlight w:val="none"/>
                <w:lang w:val="en-US" w:eastAsia="zh-CN" w:bidi="ar-SA"/>
              </w:rPr>
              <w:t>0-</w:t>
            </w:r>
            <w:r>
              <w:rPr>
                <w:rFonts w:hint="eastAsia" w:cs="仿宋"/>
                <w:color w:val="auto"/>
                <w:kern w:val="2"/>
                <w:sz w:val="24"/>
                <w:szCs w:val="24"/>
                <w:highlight w:val="none"/>
                <w:lang w:val="en-US" w:eastAsia="zh-CN" w:bidi="ar-SA"/>
              </w:rPr>
              <w:t>8</w:t>
            </w:r>
            <w:r>
              <w:rPr>
                <w:rFonts w:hint="default" w:ascii="仿宋" w:hAnsi="仿宋" w:eastAsia="仿宋" w:cs="仿宋"/>
                <w:color w:val="auto"/>
                <w:kern w:val="2"/>
                <w:sz w:val="24"/>
                <w:szCs w:val="24"/>
                <w:highlight w:val="none"/>
                <w:lang w:val="en-US" w:eastAsia="zh-CN" w:bidi="ar-SA"/>
              </w:rPr>
              <w:t>分。</w:t>
            </w:r>
          </w:p>
        </w:tc>
        <w:tc>
          <w:tcPr>
            <w:tcW w:w="337" w:type="pct"/>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268" w:type="pct"/>
            <w:vMerge w:val="continue"/>
            <w:tcBorders>
              <w:left w:val="single" w:color="000000" w:sz="8" w:space="0"/>
              <w:right w:val="single" w:color="auto" w:sz="4" w:space="0"/>
            </w:tcBorders>
            <w:shd w:val="clear" w:color="auto" w:fill="auto"/>
            <w:vAlign w:val="center"/>
          </w:tcPr>
          <w:p>
            <w:pPr>
              <w:keepNext w:val="0"/>
              <w:keepLines w:val="0"/>
              <w:widowControl/>
              <w:suppressLineNumbers w:val="0"/>
              <w:jc w:val="center"/>
              <w:textAlignment w:val="center"/>
            </w:pP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5</w:t>
            </w:r>
          </w:p>
        </w:tc>
        <w:tc>
          <w:tcPr>
            <w:tcW w:w="38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对公司技术力量情况、供货安装进度的安排合理性、现场安全措施的可行性等方面打分；0-4分。</w:t>
            </w:r>
          </w:p>
        </w:tc>
        <w:tc>
          <w:tcPr>
            <w:tcW w:w="337" w:type="pct"/>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268" w:type="pct"/>
            <w:vMerge w:val="continue"/>
            <w:tcBorders>
              <w:left w:val="single" w:color="000000" w:sz="8" w:space="0"/>
              <w:right w:val="single" w:color="auto" w:sz="4" w:space="0"/>
            </w:tcBorders>
            <w:shd w:val="clear" w:color="auto" w:fill="auto"/>
            <w:vAlign w:val="center"/>
          </w:tcPr>
          <w:p>
            <w:pPr>
              <w:keepNext w:val="0"/>
              <w:keepLines w:val="0"/>
              <w:widowControl/>
              <w:suppressLineNumbers w:val="0"/>
              <w:jc w:val="center"/>
              <w:textAlignment w:val="center"/>
            </w:pP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6</w:t>
            </w:r>
          </w:p>
        </w:tc>
        <w:tc>
          <w:tcPr>
            <w:tcW w:w="38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根据提供相应产品的培训，培训方案、时间、内容、地点、人员数等方面打分；0-4分。</w:t>
            </w:r>
          </w:p>
        </w:tc>
        <w:tc>
          <w:tcPr>
            <w:tcW w:w="337" w:type="pct"/>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268" w:type="pct"/>
            <w:vMerge w:val="continue"/>
            <w:tcBorders>
              <w:left w:val="single" w:color="000000" w:sz="8" w:space="0"/>
              <w:right w:val="single" w:color="auto" w:sz="4" w:space="0"/>
            </w:tcBorders>
            <w:shd w:val="clear" w:color="auto" w:fill="auto"/>
            <w:vAlign w:val="center"/>
          </w:tcPr>
          <w:p>
            <w:pPr>
              <w:keepNext w:val="0"/>
              <w:keepLines w:val="0"/>
              <w:widowControl/>
              <w:suppressLineNumbers w:val="0"/>
              <w:jc w:val="center"/>
              <w:textAlignment w:val="center"/>
            </w:pP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7</w:t>
            </w:r>
          </w:p>
        </w:tc>
        <w:tc>
          <w:tcPr>
            <w:tcW w:w="38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对提供的售后服务的响应情况（维修网点、维修人员、维修能力、定期巡检、故障响应等）及配件供应、优惠条件情况等方面打分；0-5分。</w:t>
            </w:r>
          </w:p>
        </w:tc>
        <w:tc>
          <w:tcPr>
            <w:tcW w:w="337" w:type="pct"/>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8" w:hRule="atLeast"/>
          <w:jc w:val="center"/>
        </w:trPr>
        <w:tc>
          <w:tcPr>
            <w:tcW w:w="268" w:type="pct"/>
            <w:vMerge w:val="continue"/>
            <w:tcBorders>
              <w:left w:val="single" w:color="000000" w:sz="8" w:space="0"/>
              <w:right w:val="single" w:color="auto" w:sz="4" w:space="0"/>
            </w:tcBorders>
            <w:shd w:val="clear" w:color="auto" w:fill="auto"/>
            <w:vAlign w:val="center"/>
          </w:tcPr>
          <w:p>
            <w:pPr>
              <w:keepNext w:val="0"/>
              <w:keepLines w:val="0"/>
              <w:widowControl/>
              <w:suppressLineNumbers w:val="0"/>
              <w:jc w:val="center"/>
              <w:textAlignment w:val="center"/>
            </w:pP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8</w:t>
            </w:r>
          </w:p>
        </w:tc>
        <w:tc>
          <w:tcPr>
            <w:tcW w:w="38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2"/>
                <w:sz w:val="24"/>
                <w:szCs w:val="24"/>
                <w:highlight w:val="none"/>
                <w:lang w:val="en-US" w:eastAsia="en-US" w:bidi="ar-SA"/>
              </w:rPr>
            </w:pPr>
            <w:r>
              <w:rPr>
                <w:rFonts w:hint="eastAsia" w:ascii="仿宋" w:hAnsi="仿宋" w:eastAsia="仿宋" w:cs="仿宋"/>
                <w:color w:val="auto"/>
                <w:kern w:val="2"/>
                <w:sz w:val="24"/>
                <w:szCs w:val="24"/>
                <w:highlight w:val="none"/>
                <w:lang w:val="en-US" w:eastAsia="zh-CN" w:bidi="ar-SA"/>
              </w:rPr>
              <w:t>后期维护、使用</w:t>
            </w:r>
            <w:r>
              <w:rPr>
                <w:rFonts w:hint="eastAsia" w:ascii="仿宋" w:hAnsi="仿宋" w:eastAsia="仿宋" w:cs="仿宋"/>
                <w:color w:val="auto"/>
                <w:kern w:val="2"/>
                <w:sz w:val="24"/>
                <w:szCs w:val="24"/>
                <w:highlight w:val="none"/>
                <w:lang w:val="en-US" w:eastAsia="en-US" w:bidi="ar-SA"/>
              </w:rPr>
              <w:t>成本（根据保修价格、年运行费用和消耗品、易耗品价格</w:t>
            </w:r>
            <w:r>
              <w:rPr>
                <w:rFonts w:hint="eastAsia" w:ascii="仿宋" w:hAnsi="仿宋" w:eastAsia="仿宋" w:cs="仿宋"/>
                <w:color w:val="auto"/>
                <w:kern w:val="2"/>
                <w:sz w:val="24"/>
                <w:szCs w:val="24"/>
                <w:highlight w:val="none"/>
                <w:lang w:val="en-US" w:eastAsia="zh-CN" w:bidi="ar-SA"/>
              </w:rPr>
              <w:t>等</w:t>
            </w:r>
            <w:r>
              <w:rPr>
                <w:rFonts w:hint="eastAsia" w:ascii="仿宋" w:hAnsi="仿宋" w:eastAsia="仿宋" w:cs="仿宋"/>
                <w:color w:val="auto"/>
                <w:kern w:val="2"/>
                <w:sz w:val="24"/>
                <w:szCs w:val="24"/>
                <w:highlight w:val="none"/>
                <w:lang w:val="en-US" w:eastAsia="en-US" w:bidi="ar-SA"/>
              </w:rPr>
              <w:t>），随机提供的耗材、备品配件、易损件是否齐全，保修期内外选购价格合理性等因素综合打分；0-</w:t>
            </w:r>
            <w:r>
              <w:rPr>
                <w:rFonts w:hint="eastAsia" w:ascii="仿宋" w:hAnsi="仿宋" w:eastAsia="仿宋" w:cs="仿宋"/>
                <w:color w:val="auto"/>
                <w:kern w:val="2"/>
                <w:sz w:val="24"/>
                <w:szCs w:val="24"/>
                <w:highlight w:val="none"/>
                <w:lang w:val="en-US" w:eastAsia="zh-CN" w:bidi="ar-SA"/>
              </w:rPr>
              <w:t>4</w:t>
            </w:r>
            <w:r>
              <w:rPr>
                <w:rFonts w:hint="eastAsia" w:ascii="仿宋" w:hAnsi="仿宋" w:eastAsia="仿宋" w:cs="仿宋"/>
                <w:color w:val="auto"/>
                <w:kern w:val="2"/>
                <w:sz w:val="24"/>
                <w:szCs w:val="24"/>
                <w:highlight w:val="none"/>
                <w:lang w:val="en-US" w:eastAsia="en-US" w:bidi="ar-SA"/>
              </w:rPr>
              <w:t>分。</w:t>
            </w:r>
          </w:p>
        </w:tc>
        <w:tc>
          <w:tcPr>
            <w:tcW w:w="337" w:type="pct"/>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859"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总     计</w:t>
            </w:r>
          </w:p>
        </w:tc>
        <w:tc>
          <w:tcPr>
            <w:tcW w:w="380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 </w:t>
            </w:r>
          </w:p>
        </w:tc>
        <w:tc>
          <w:tcPr>
            <w:tcW w:w="33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70</w:t>
            </w:r>
          </w:p>
        </w:tc>
      </w:tr>
    </w:tbl>
    <w:p>
      <w:pPr>
        <w:spacing w:line="360" w:lineRule="auto"/>
        <w:rPr>
          <w:rFonts w:hint="eastAsia" w:ascii="宋体" w:hAnsi="宋体" w:eastAsia="宋体" w:cs="宋体"/>
          <w:kern w:val="0"/>
          <w:sz w:val="24"/>
          <w:szCs w:val="24"/>
          <w:lang w:val="en-US" w:eastAsia="zh-CN" w:bidi="ar-SA"/>
        </w:rPr>
      </w:pPr>
      <w:r>
        <w:rPr>
          <w:rFonts w:hint="eastAsia"/>
          <w:lang w:val="en-US" w:eastAsia="zh-CN"/>
        </w:rPr>
        <w:t>2.</w:t>
      </w:r>
      <w:r>
        <w:rPr>
          <w:rFonts w:hint="eastAsia" w:ascii="宋体" w:hAnsi="宋体" w:eastAsia="宋体" w:cs="宋体"/>
          <w:kern w:val="0"/>
          <w:sz w:val="24"/>
          <w:szCs w:val="24"/>
          <w:lang w:val="en-US" w:eastAsia="zh-CN" w:bidi="ar-SA"/>
        </w:rPr>
        <w:t>（1）即满足招标文件要求且投标价格最低的</w:t>
      </w:r>
      <w:r>
        <w:rPr>
          <w:rFonts w:hint="eastAsia" w:ascii="宋体" w:hAnsi="宋体" w:eastAsia="宋体" w:cs="宋体"/>
          <w:b/>
          <w:bCs/>
          <w:kern w:val="0"/>
          <w:sz w:val="24"/>
          <w:szCs w:val="24"/>
          <w:lang w:val="en-US" w:eastAsia="zh-CN" w:bidi="ar-SA"/>
        </w:rPr>
        <w:t>试剂</w:t>
      </w:r>
      <w:r>
        <w:rPr>
          <w:rFonts w:hint="eastAsia" w:ascii="宋体" w:hAnsi="宋体" w:eastAsia="宋体" w:cs="宋体"/>
          <w:kern w:val="0"/>
          <w:sz w:val="24"/>
          <w:szCs w:val="24"/>
          <w:lang w:val="en-US" w:eastAsia="zh-CN" w:bidi="ar-SA"/>
        </w:rPr>
        <w:t>投标报价为评标基准价，其价格分为满分。</w:t>
      </w:r>
    </w:p>
    <w:p>
      <w:pPr>
        <w:spacing w:line="360"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（2）商务得分计算。</w:t>
      </w:r>
    </w:p>
    <w:p>
      <w:pPr>
        <w:spacing w:line="360" w:lineRule="auto"/>
        <w:ind w:firstLine="120" w:firstLineChars="5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商务得分=（评标基准价/投标报价）×30%×100，保留小数2位</w:t>
      </w:r>
    </w:p>
    <w:p>
      <w:pPr>
        <w:pStyle w:val="7"/>
        <w:rPr>
          <w:rFonts w:hint="default"/>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val="0"/>
          <w:bCs w:val="0"/>
          <w:kern w:val="0"/>
          <w:sz w:val="24"/>
          <w:szCs w:val="24"/>
        </w:rPr>
      </w:pPr>
      <w:r>
        <w:rPr>
          <w:rFonts w:hint="eastAsia" w:ascii="宋体" w:hAnsi="宋体" w:cs="宋体"/>
          <w:b w:val="0"/>
          <w:bCs w:val="0"/>
          <w:kern w:val="0"/>
          <w:sz w:val="24"/>
          <w:szCs w:val="24"/>
        </w:rPr>
        <w:t>递交的投标文件应分为技术标和商务标，技术标为除商务报价外的所有内容，且技术标和商务标分开制作，并单独密封包装。</w:t>
      </w:r>
      <w:r>
        <w:rPr>
          <w:rFonts w:ascii="宋体" w:hAnsi="宋体" w:cs="宋体"/>
          <w:b w:val="0"/>
          <w:bCs w:val="0"/>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w:t>
      </w:r>
      <w:r>
        <w:rPr>
          <w:rFonts w:hint="eastAsia" w:ascii="宋体" w:hAnsi="宋体" w:cs="宋体"/>
          <w:kern w:val="0"/>
          <w:sz w:val="24"/>
          <w:szCs w:val="24"/>
          <w:lang w:eastAsia="zh-CN"/>
        </w:rPr>
        <w:t>）</w:t>
      </w:r>
    </w:p>
    <w:p>
      <w:pPr>
        <w:pStyle w:val="5"/>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生厂厂家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注册证、产品授权书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pStyle w:val="12"/>
        <w:rPr>
          <w:rFonts w:hint="default" w:ascii="宋体" w:hAnsi="宋体" w:cs="宋体"/>
          <w:sz w:val="24"/>
          <w:szCs w:val="24"/>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参数配置及彩页。</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cs="宋体"/>
          <w:sz w:val="24"/>
          <w:szCs w:val="24"/>
          <w:lang w:val="en-US" w:eastAsia="zh-CN"/>
        </w:rPr>
      </w:pPr>
      <w:r>
        <w:rPr>
          <w:rFonts w:hint="eastAsia" w:ascii="宋体" w:hAnsi="宋体" w:cs="宋体"/>
          <w:sz w:val="24"/>
          <w:szCs w:val="24"/>
          <w:lang w:val="en-US" w:eastAsia="zh-CN"/>
        </w:rPr>
        <w:t>（5）供货方案</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cs="宋体"/>
          <w:sz w:val="24"/>
          <w:szCs w:val="24"/>
          <w:lang w:val="en-US" w:eastAsia="zh-CN"/>
        </w:rPr>
      </w:pPr>
      <w:r>
        <w:rPr>
          <w:rFonts w:hint="eastAsia" w:ascii="宋体" w:hAnsi="宋体" w:cs="宋体"/>
          <w:sz w:val="24"/>
          <w:szCs w:val="24"/>
          <w:lang w:val="en-US" w:eastAsia="zh-CN"/>
        </w:rPr>
        <w:t>（6）培训方案</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cs="宋体"/>
          <w:sz w:val="24"/>
          <w:szCs w:val="24"/>
          <w:lang w:val="en-US" w:eastAsia="zh-CN"/>
        </w:rPr>
      </w:pPr>
      <w:r>
        <w:rPr>
          <w:rFonts w:hint="eastAsia" w:ascii="宋体" w:hAnsi="宋体" w:cs="宋体"/>
          <w:sz w:val="24"/>
          <w:szCs w:val="24"/>
          <w:lang w:val="en-US" w:eastAsia="zh-CN"/>
        </w:rPr>
        <w:t>（7）售后承诺书，需有原厂认证。</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cs="宋体"/>
          <w:sz w:val="24"/>
          <w:szCs w:val="24"/>
          <w:lang w:val="en-US" w:eastAsia="zh-CN"/>
        </w:rPr>
      </w:pPr>
      <w:r>
        <w:rPr>
          <w:rFonts w:hint="eastAsia" w:ascii="宋体" w:hAnsi="宋体" w:cs="宋体"/>
          <w:sz w:val="24"/>
          <w:szCs w:val="24"/>
          <w:lang w:val="en-US" w:eastAsia="zh-CN"/>
        </w:rPr>
        <w:t>（8）质保承诺，需有原厂认证。</w:t>
      </w:r>
    </w:p>
    <w:p>
      <w:pPr>
        <w:pStyle w:val="12"/>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（8）生产企业质量认证体系证书：1国内（医疗器械质量管理体系认证/通用质量管理体系认证）2国外（FDA/GE/GS/TUV）。</w:t>
      </w:r>
    </w:p>
    <w:p>
      <w:pPr>
        <w:pStyle w:val="12"/>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（9）附件2：设备需求参数配置对照表</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宋体" w:hAnsi="宋体" w:cs="宋体"/>
          <w:kern w:val="0"/>
          <w:sz w:val="24"/>
          <w:szCs w:val="24"/>
          <w:lang w:val="en-US" w:eastAsia="zh-CN"/>
        </w:rPr>
        <w:t>。</w:t>
      </w:r>
      <w:r>
        <w:rPr>
          <w:rFonts w:hint="eastAsia" w:ascii="新宋体" w:hAnsi="新宋体" w:eastAsia="新宋体"/>
          <w:sz w:val="24"/>
          <w:szCs w:val="24"/>
        </w:rPr>
        <w:t xml:space="preserve">  </w:t>
      </w:r>
    </w:p>
    <w:p>
      <w:pPr>
        <w:pStyle w:val="12"/>
        <w:rPr>
          <w:rFonts w:hint="default" w:eastAsia="新宋体"/>
          <w:lang w:val="en-US" w:eastAsia="zh-CN"/>
        </w:rPr>
      </w:pPr>
      <w:r>
        <w:rPr>
          <w:rFonts w:hint="eastAsia" w:ascii="新宋体" w:hAnsi="新宋体" w:eastAsia="新宋体"/>
          <w:sz w:val="24"/>
          <w:szCs w:val="24"/>
          <w:lang w:val="en-US" w:eastAsia="zh-CN"/>
        </w:rPr>
        <w:t>3.技术标一式三份，标注正本与副本；商务标一式一份。</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1"/>
          <w:rFonts w:hint="eastAsia" w:ascii="宋体" w:hAnsi="宋体" w:cs="宋体"/>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报名截止时间：</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宋体" w:hAnsi="宋体" w:cs="Arial"/>
          <w:sz w:val="24"/>
          <w:szCs w:val="24"/>
        </w:rPr>
      </w:pPr>
      <w:r>
        <w:rPr>
          <w:rFonts w:hint="eastAsia" w:ascii="新宋体" w:hAnsi="新宋体" w:eastAsia="新宋体"/>
          <w:sz w:val="24"/>
          <w:szCs w:val="24"/>
          <w:lang w:val="en-US" w:eastAsia="zh-CN"/>
        </w:rPr>
        <w:t>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并在封标处盖章。请各供应商</w:t>
      </w:r>
      <w:r>
        <w:rPr>
          <w:rFonts w:hint="eastAsia" w:ascii="宋体" w:hAnsi="宋体" w:cs="Arial"/>
          <w:sz w:val="24"/>
          <w:szCs w:val="24"/>
        </w:rPr>
        <w:t>在202</w:t>
      </w:r>
      <w:r>
        <w:rPr>
          <w:rFonts w:hint="eastAsia" w:ascii="宋体" w:hAnsi="宋体" w:cs="Arial"/>
          <w:sz w:val="24"/>
          <w:szCs w:val="24"/>
          <w:lang w:val="en-US" w:eastAsia="zh-CN"/>
        </w:rPr>
        <w:t>4</w:t>
      </w:r>
      <w:r>
        <w:rPr>
          <w:rFonts w:hint="eastAsia" w:ascii="宋体" w:hAnsi="宋体" w:cs="Arial"/>
          <w:sz w:val="24"/>
          <w:szCs w:val="24"/>
        </w:rPr>
        <w:t>年</w:t>
      </w:r>
      <w:r>
        <w:rPr>
          <w:rFonts w:hint="eastAsia" w:ascii="宋体" w:hAnsi="宋体" w:cs="Arial"/>
          <w:sz w:val="24"/>
          <w:szCs w:val="24"/>
          <w:lang w:val="en-US" w:eastAsia="zh-CN"/>
        </w:rPr>
        <w:t>1</w:t>
      </w:r>
      <w:r>
        <w:rPr>
          <w:rFonts w:hint="eastAsia" w:ascii="宋体" w:hAnsi="宋体" w:cs="Arial"/>
          <w:sz w:val="24"/>
          <w:szCs w:val="24"/>
        </w:rPr>
        <w:t>月</w:t>
      </w:r>
      <w:r>
        <w:rPr>
          <w:rFonts w:hint="eastAsia" w:ascii="宋体" w:hAnsi="宋体" w:cs="Arial"/>
          <w:sz w:val="24"/>
          <w:szCs w:val="24"/>
          <w:lang w:val="en-US" w:eastAsia="zh-CN"/>
        </w:rPr>
        <w:t>22</w:t>
      </w:r>
      <w:r>
        <w:rPr>
          <w:rFonts w:hint="eastAsia" w:ascii="宋体" w:hAnsi="宋体" w:cs="Arial"/>
          <w:sz w:val="24"/>
          <w:szCs w:val="24"/>
        </w:rPr>
        <w:t>日</w:t>
      </w:r>
      <w:r>
        <w:rPr>
          <w:rFonts w:hint="eastAsia" w:ascii="宋体" w:hAnsi="宋体" w:cs="Arial"/>
          <w:sz w:val="24"/>
          <w:szCs w:val="24"/>
          <w:lang w:val="en-US" w:eastAsia="zh-CN"/>
        </w:rPr>
        <w:t>17：00</w:t>
      </w:r>
      <w:r>
        <w:rPr>
          <w:rFonts w:hint="eastAsia" w:ascii="宋体" w:hAnsi="宋体" w:cs="Arial"/>
          <w:sz w:val="24"/>
          <w:szCs w:val="24"/>
        </w:rPr>
        <w:t>前</w:t>
      </w:r>
      <w:r>
        <w:rPr>
          <w:rFonts w:hint="eastAsia" w:ascii="宋体" w:hAnsi="宋体" w:cs="Arial"/>
          <w:sz w:val="24"/>
          <w:szCs w:val="24"/>
          <w:lang w:val="en-US" w:eastAsia="zh-CN"/>
        </w:rPr>
        <w:t>将标书投递或送</w:t>
      </w:r>
      <w:r>
        <w:rPr>
          <w:rFonts w:hint="eastAsia" w:ascii="宋体" w:hAnsi="宋体" w:cs="Arial"/>
          <w:sz w:val="24"/>
          <w:szCs w:val="24"/>
        </w:rPr>
        <w:t>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1"/>
          <w:rFonts w:hint="eastAsia" w:ascii="宋体" w:hAnsi="宋体" w:eastAsia="新宋体" w:cs="宋体"/>
          <w:sz w:val="24"/>
          <w:szCs w:val="24"/>
          <w:lang w:eastAsia="zh-CN"/>
        </w:rPr>
      </w:pPr>
      <w:r>
        <w:rPr>
          <w:rFonts w:hint="eastAsia" w:ascii="宋体" w:hAnsi="宋体" w:cs="Arial"/>
          <w:sz w:val="24"/>
          <w:szCs w:val="24"/>
        </w:rPr>
        <w:t>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1"/>
          <w:rFonts w:hint="eastAsia" w:ascii="宋体" w:hAnsi="宋体" w:cs="宋体"/>
          <w:sz w:val="24"/>
          <w:szCs w:val="24"/>
        </w:rPr>
      </w:pPr>
      <w:r>
        <w:rPr>
          <w:rStyle w:val="11"/>
          <w:rFonts w:hint="eastAsia" w:ascii="宋体" w:hAnsi="宋体" w:cs="宋体"/>
          <w:sz w:val="24"/>
          <w:szCs w:val="24"/>
          <w:lang w:val="en-US" w:eastAsia="zh-CN"/>
        </w:rPr>
        <w:t>七、</w:t>
      </w:r>
      <w:r>
        <w:rPr>
          <w:rStyle w:val="11"/>
          <w:rFonts w:hint="eastAsia" w:ascii="宋体" w:hAnsi="宋体" w:cs="宋体"/>
          <w:sz w:val="24"/>
          <w:szCs w:val="24"/>
        </w:rPr>
        <w:t>开标时间及地址：</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w:t>
      </w:r>
      <w:r>
        <w:rPr>
          <w:rFonts w:hint="eastAsia" w:ascii="宋体" w:hAnsi="宋体" w:cs="宋体"/>
          <w:sz w:val="24"/>
          <w:szCs w:val="24"/>
          <w:lang w:val="en-US" w:eastAsia="zh-CN"/>
        </w:rPr>
        <w:t>采用不见面开标，</w:t>
      </w:r>
      <w:r>
        <w:rPr>
          <w:rFonts w:hint="eastAsia" w:ascii="宋体" w:hAnsi="宋体" w:cs="宋体"/>
          <w:sz w:val="24"/>
          <w:szCs w:val="24"/>
        </w:rPr>
        <w:t>开标时间：</w:t>
      </w:r>
      <w:r>
        <w:rPr>
          <w:rStyle w:val="11"/>
          <w:rFonts w:hint="eastAsia" w:ascii="宋体" w:hAnsi="宋体" w:cs="宋体"/>
          <w:sz w:val="24"/>
          <w:szCs w:val="24"/>
          <w:u w:val="single"/>
        </w:rPr>
        <w:t>202</w:t>
      </w:r>
      <w:r>
        <w:rPr>
          <w:rStyle w:val="11"/>
          <w:rFonts w:hint="eastAsia" w:ascii="宋体" w:hAnsi="宋体" w:cs="宋体"/>
          <w:sz w:val="24"/>
          <w:szCs w:val="24"/>
          <w:u w:val="single"/>
          <w:lang w:val="en-US" w:eastAsia="zh-CN"/>
        </w:rPr>
        <w:t>4</w:t>
      </w:r>
      <w:r>
        <w:rPr>
          <w:rStyle w:val="11"/>
          <w:rFonts w:hint="eastAsia" w:ascii="宋体" w:hAnsi="宋体" w:cs="宋体"/>
          <w:sz w:val="24"/>
          <w:szCs w:val="24"/>
          <w:u w:val="single"/>
        </w:rPr>
        <w:t>年</w:t>
      </w:r>
      <w:r>
        <w:rPr>
          <w:rStyle w:val="11"/>
          <w:rFonts w:hint="eastAsia" w:ascii="宋体" w:hAnsi="宋体" w:cs="宋体"/>
          <w:sz w:val="24"/>
          <w:szCs w:val="24"/>
          <w:u w:val="single"/>
          <w:lang w:val="en-US" w:eastAsia="zh-CN"/>
        </w:rPr>
        <w:t>1</w:t>
      </w:r>
      <w:r>
        <w:rPr>
          <w:rStyle w:val="11"/>
          <w:rFonts w:hint="eastAsia" w:ascii="宋体" w:hAnsi="宋体" w:cs="宋体"/>
          <w:sz w:val="24"/>
          <w:szCs w:val="24"/>
          <w:u w:val="single"/>
        </w:rPr>
        <w:t>月</w:t>
      </w:r>
      <w:r>
        <w:rPr>
          <w:rStyle w:val="11"/>
          <w:rFonts w:hint="eastAsia" w:ascii="宋体" w:hAnsi="宋体" w:cs="宋体"/>
          <w:sz w:val="24"/>
          <w:szCs w:val="24"/>
          <w:u w:val="single"/>
          <w:lang w:val="en-US" w:eastAsia="zh-CN"/>
        </w:rPr>
        <w:t>23</w:t>
      </w:r>
      <w:r>
        <w:rPr>
          <w:rStyle w:val="11"/>
          <w:rFonts w:hint="eastAsia" w:ascii="宋体" w:hAnsi="宋体" w:cs="宋体"/>
          <w:sz w:val="24"/>
          <w:szCs w:val="24"/>
          <w:u w:val="single"/>
        </w:rPr>
        <w:t>日</w:t>
      </w:r>
      <w:r>
        <w:rPr>
          <w:rStyle w:val="11"/>
          <w:rFonts w:hint="eastAsia" w:ascii="宋体" w:hAnsi="宋体" w:cs="宋体"/>
          <w:sz w:val="24"/>
          <w:szCs w:val="24"/>
          <w:u w:val="single"/>
          <w:lang w:val="en-US" w:eastAsia="zh-CN"/>
        </w:rPr>
        <w:t>9</w:t>
      </w:r>
      <w:r>
        <w:rPr>
          <w:rStyle w:val="11"/>
          <w:rFonts w:hint="eastAsia" w:ascii="宋体" w:hAnsi="宋体" w:cs="宋体"/>
          <w:sz w:val="24"/>
          <w:szCs w:val="24"/>
          <w:u w:val="single"/>
        </w:rPr>
        <w:t>时</w:t>
      </w:r>
      <w:r>
        <w:rPr>
          <w:rStyle w:val="11"/>
          <w:rFonts w:hint="eastAsia" w:ascii="宋体" w:hAnsi="宋体" w:cs="宋体"/>
          <w:sz w:val="24"/>
          <w:szCs w:val="24"/>
        </w:rPr>
        <w:t>。开标地址：义乌市中心医院行政楼</w:t>
      </w:r>
      <w:r>
        <w:rPr>
          <w:rStyle w:val="11"/>
          <w:rFonts w:hint="eastAsia" w:ascii="宋体" w:hAnsi="宋体" w:cs="宋体"/>
          <w:sz w:val="24"/>
          <w:szCs w:val="24"/>
          <w:lang w:val="en-US" w:eastAsia="zh-CN"/>
        </w:rPr>
        <w:t>1</w:t>
      </w:r>
      <w:r>
        <w:rPr>
          <w:rStyle w:val="11"/>
          <w:rFonts w:hint="eastAsia" w:ascii="宋体" w:hAnsi="宋体" w:cs="宋体"/>
          <w:sz w:val="24"/>
          <w:szCs w:val="24"/>
        </w:rPr>
        <w:t>楼</w:t>
      </w:r>
      <w:r>
        <w:rPr>
          <w:rStyle w:val="11"/>
          <w:rFonts w:hint="eastAsia" w:ascii="宋体" w:hAnsi="宋体" w:cs="宋体"/>
          <w:sz w:val="24"/>
          <w:szCs w:val="24"/>
          <w:lang w:val="en-US" w:eastAsia="zh-CN"/>
        </w:rPr>
        <w:t>109</w:t>
      </w:r>
      <w:r>
        <w:rPr>
          <w:rStyle w:val="11"/>
          <w:rFonts w:hint="eastAsia" w:ascii="宋体" w:hAnsi="宋体" w:cs="宋体"/>
          <w:sz w:val="24"/>
          <w:szCs w:val="24"/>
        </w:rPr>
        <w:t>室。</w:t>
      </w:r>
      <w:r>
        <w:rPr>
          <w:rFonts w:hint="eastAsia"/>
          <w:sz w:val="24"/>
          <w:szCs w:val="24"/>
          <w:lang w:val="en-US" w:eastAsia="zh-CN"/>
        </w:rPr>
        <w:t>根据报名情况调整。</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bookmarkStart w:id="0" w:name="_GoBack"/>
      <w:r>
        <w:rPr>
          <w:rFonts w:hint="eastAsia" w:ascii="新宋体" w:hAnsi="新宋体" w:eastAsia="新宋体"/>
          <w:sz w:val="24"/>
          <w:szCs w:val="24"/>
          <w:lang w:val="en-US" w:eastAsia="zh-CN"/>
        </w:rPr>
        <w:t>八、附件</w:t>
      </w:r>
      <w:r>
        <w:rPr>
          <w:rFonts w:hint="eastAsia" w:ascii="新宋体" w:hAnsi="新宋体" w:eastAsia="新宋体"/>
          <w:sz w:val="24"/>
          <w:szCs w:val="24"/>
          <w:lang w:val="en-US" w:eastAsia="zh-CN"/>
        </w:rPr>
        <w:br w:type="textWrapping"/>
      </w:r>
      <w:bookmarkEnd w:id="0"/>
      <w:r>
        <w:rPr>
          <w:rFonts w:hint="eastAsia"/>
        </w:rPr>
        <w:t xml:space="preserve">附件1：《报价一览表》。  </w:t>
      </w:r>
      <w:r>
        <w:rPr>
          <w:rFonts w:hint="eastAsia"/>
        </w:rPr>
        <w:br w:type="textWrapping"/>
      </w:r>
      <w:r>
        <w:rPr>
          <w:rFonts w:hint="eastAsia"/>
          <w:lang w:val="en-US" w:eastAsia="zh-CN"/>
        </w:rPr>
        <w:t>附件2：</w:t>
      </w:r>
      <w:r>
        <w:rPr>
          <w:rFonts w:hint="eastAsia" w:ascii="宋体" w:hAnsi="宋体" w:cs="宋体"/>
          <w:b w:val="0"/>
          <w:bCs w:val="0"/>
          <w:sz w:val="24"/>
          <w:szCs w:val="24"/>
          <w:lang w:val="en-US" w:eastAsia="zh-CN"/>
        </w:rPr>
        <w:t>设备需求参数配置对照表</w:t>
      </w:r>
      <w:r>
        <w:rPr>
          <w:rFonts w:hint="eastAsia"/>
          <w:sz w:val="24"/>
          <w:szCs w:val="24"/>
          <w:lang w:val="en-US" w:eastAsia="zh-CN"/>
        </w:rPr>
        <w:br w:type="textWrapping"/>
      </w:r>
      <w:r>
        <w:rPr>
          <w:rFonts w:hint="eastAsia"/>
        </w:rPr>
        <w:t xml:space="preserve"> </w:t>
      </w:r>
      <w:r>
        <w:rPr>
          <w:rFonts w:hint="eastAsia" w:ascii="新宋体" w:hAnsi="新宋体" w:eastAsia="新宋体"/>
          <w:szCs w:val="24"/>
        </w:rPr>
        <w:t xml:space="preserve">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年</w:t>
      </w:r>
      <w:r>
        <w:rPr>
          <w:rFonts w:hint="eastAsia" w:ascii="新宋体" w:hAnsi="新宋体" w:eastAsia="新宋体"/>
          <w:sz w:val="24"/>
          <w:szCs w:val="24"/>
          <w:lang w:val="en-US" w:eastAsia="zh-CN"/>
        </w:rPr>
        <w:t>1</w:t>
      </w:r>
      <w:r>
        <w:rPr>
          <w:rFonts w:hint="eastAsia" w:ascii="新宋体" w:hAnsi="新宋体" w:eastAsia="新宋体"/>
          <w:sz w:val="24"/>
          <w:szCs w:val="24"/>
        </w:rPr>
        <w:t>月</w:t>
      </w:r>
      <w:r>
        <w:rPr>
          <w:rFonts w:hint="eastAsia" w:ascii="新宋体" w:hAnsi="新宋体" w:eastAsia="新宋体"/>
          <w:sz w:val="24"/>
          <w:szCs w:val="24"/>
          <w:lang w:val="en-US" w:eastAsia="zh-CN"/>
        </w:rPr>
        <w:t>15</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p>
    <w:p>
      <w:pPr>
        <w:rPr>
          <w:rFonts w:hint="eastAsia"/>
        </w:rPr>
      </w:pPr>
      <w:r>
        <w:rPr>
          <w:rFonts w:hint="eastAsia"/>
        </w:rPr>
        <w:br w:type="page"/>
      </w:r>
    </w:p>
    <w:p>
      <w:pPr>
        <w:pStyle w:val="14"/>
        <w:rPr>
          <w:rFonts w:hint="eastAsia"/>
        </w:rPr>
      </w:pPr>
    </w:p>
    <w:p>
      <w:pPr>
        <w:pStyle w:val="14"/>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bl>
    <w:p>
      <w:pPr>
        <w:jc w:val="center"/>
        <w:rPr>
          <w:rFonts w:hAnsi="宋体"/>
          <w:b/>
          <w:bCs/>
          <w:sz w:val="36"/>
        </w:rPr>
      </w:pPr>
    </w:p>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rFonts w:hint="eastAsia"/>
          <w:sz w:val="24"/>
          <w:lang w:val="en-US" w:eastAsia="zh-CN"/>
        </w:rPr>
      </w:pPr>
    </w:p>
    <w:tbl>
      <w:tblPr>
        <w:tblStyle w:val="9"/>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219"/>
        <w:gridCol w:w="1624"/>
        <w:gridCol w:w="1826"/>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Align w:val="center"/>
          </w:tcPr>
          <w:p>
            <w:pPr>
              <w:keepNext w:val="0"/>
              <w:keepLines w:val="0"/>
              <w:widowControl/>
              <w:suppressLineNumbers w:val="0"/>
              <w:jc w:val="center"/>
              <w:textAlignment w:val="center"/>
              <w:rPr>
                <w:sz w:val="18"/>
                <w:szCs w:val="18"/>
                <w:vertAlign w:val="baseline"/>
              </w:rPr>
            </w:pPr>
            <w:r>
              <w:rPr>
                <w:rStyle w:val="16"/>
                <w:sz w:val="28"/>
                <w:szCs w:val="28"/>
                <w:lang w:val="en-US" w:eastAsia="zh-CN" w:bidi="ar"/>
              </w:rPr>
              <w:t>序号</w:t>
            </w:r>
          </w:p>
        </w:tc>
        <w:tc>
          <w:tcPr>
            <w:tcW w:w="2219" w:type="dxa"/>
            <w:vAlign w:val="bottom"/>
          </w:tcPr>
          <w:p>
            <w:pPr>
              <w:keepNext w:val="0"/>
              <w:keepLines w:val="0"/>
              <w:widowControl/>
              <w:suppressLineNumbers w:val="0"/>
              <w:jc w:val="center"/>
              <w:textAlignment w:val="bottom"/>
              <w:rPr>
                <w:rFonts w:hint="default"/>
                <w:sz w:val="18"/>
                <w:szCs w:val="18"/>
                <w:vertAlign w:val="baseline"/>
                <w:lang w:val="en-US"/>
              </w:rPr>
            </w:pPr>
            <w:r>
              <w:rPr>
                <w:rStyle w:val="16"/>
                <w:rFonts w:hint="eastAsia"/>
                <w:sz w:val="28"/>
                <w:szCs w:val="28"/>
                <w:lang w:val="en-US" w:eastAsia="zh-CN" w:bidi="ar"/>
              </w:rPr>
              <w:t>产品名称</w:t>
            </w:r>
          </w:p>
        </w:tc>
        <w:tc>
          <w:tcPr>
            <w:tcW w:w="1624" w:type="dxa"/>
            <w:vAlign w:val="bottom"/>
          </w:tcPr>
          <w:p>
            <w:pPr>
              <w:keepNext w:val="0"/>
              <w:keepLines w:val="0"/>
              <w:widowControl/>
              <w:suppressLineNumbers w:val="0"/>
              <w:jc w:val="center"/>
              <w:textAlignment w:val="bottom"/>
              <w:rPr>
                <w:sz w:val="18"/>
                <w:szCs w:val="18"/>
                <w:vertAlign w:val="baseline"/>
              </w:rPr>
            </w:pPr>
            <w:r>
              <w:rPr>
                <w:rStyle w:val="16"/>
                <w:sz w:val="28"/>
                <w:szCs w:val="28"/>
                <w:lang w:val="en-US" w:eastAsia="zh-CN" w:bidi="ar"/>
              </w:rPr>
              <w:t>规格</w:t>
            </w:r>
          </w:p>
        </w:tc>
        <w:tc>
          <w:tcPr>
            <w:tcW w:w="1826" w:type="dxa"/>
            <w:vAlign w:val="center"/>
          </w:tcPr>
          <w:p>
            <w:pPr>
              <w:keepNext w:val="0"/>
              <w:keepLines w:val="0"/>
              <w:widowControl/>
              <w:suppressLineNumbers w:val="0"/>
              <w:jc w:val="center"/>
              <w:textAlignment w:val="center"/>
              <w:rPr>
                <w:rFonts w:hint="default" w:eastAsia="宋体"/>
                <w:sz w:val="18"/>
                <w:szCs w:val="18"/>
                <w:vertAlign w:val="baseline"/>
                <w:lang w:val="en-US" w:eastAsia="zh-CN"/>
              </w:rPr>
            </w:pPr>
            <w:r>
              <w:rPr>
                <w:rFonts w:hint="eastAsia"/>
                <w:sz w:val="24"/>
                <w:szCs w:val="24"/>
                <w:vertAlign w:val="baseline"/>
                <w:lang w:val="en-US" w:eastAsia="zh-CN"/>
              </w:rPr>
              <w:t>品牌</w:t>
            </w:r>
          </w:p>
        </w:tc>
        <w:tc>
          <w:tcPr>
            <w:tcW w:w="2002" w:type="dxa"/>
            <w:vAlign w:val="center"/>
          </w:tcPr>
          <w:p>
            <w:pPr>
              <w:keepNext w:val="0"/>
              <w:keepLines w:val="0"/>
              <w:widowControl/>
              <w:suppressLineNumbers w:val="0"/>
              <w:jc w:val="center"/>
              <w:textAlignment w:val="center"/>
              <w:rPr>
                <w:rFonts w:hint="default"/>
                <w:sz w:val="28"/>
                <w:szCs w:val="28"/>
                <w:vertAlign w:val="baseline"/>
                <w:lang w:val="en-US" w:eastAsia="zh-CN"/>
              </w:rPr>
            </w:pPr>
            <w:r>
              <w:rPr>
                <w:rFonts w:hint="eastAsia"/>
                <w:sz w:val="28"/>
                <w:szCs w:val="28"/>
                <w:vertAlign w:val="baseline"/>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28"/>
                <w:szCs w:val="28"/>
                <w:u w:val="none"/>
                <w:lang w:val="en-US" w:eastAsia="zh-CN" w:bidi="ar"/>
              </w:rPr>
              <w:t>1</w:t>
            </w: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Align w:val="center"/>
          </w:tcPr>
          <w:p>
            <w:pPr>
              <w:keepNext w:val="0"/>
              <w:keepLines w:val="0"/>
              <w:widowControl/>
              <w:suppressLineNumbers w:val="0"/>
              <w:jc w:val="center"/>
              <w:textAlignment w:val="center"/>
              <w:rPr>
                <w:sz w:val="18"/>
                <w:szCs w:val="18"/>
                <w:vertAlign w:val="baseline"/>
              </w:rPr>
            </w:pP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1187"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8"/>
                <w:szCs w:val="28"/>
                <w:u w:val="none"/>
                <w:lang w:val="en-US" w:eastAsia="zh-CN" w:bidi="ar"/>
              </w:rPr>
            </w:pP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858" w:type="dxa"/>
            <w:gridSpan w:val="5"/>
            <w:vAlign w:val="center"/>
          </w:tcPr>
          <w:p>
            <w:pPr>
              <w:jc w:val="left"/>
              <w:rPr>
                <w:rFonts w:hint="default"/>
                <w:sz w:val="18"/>
                <w:szCs w:val="18"/>
                <w:vertAlign w:val="baseline"/>
                <w:lang w:val="en-US" w:eastAsia="zh-CN"/>
              </w:rPr>
            </w:pPr>
            <w:r>
              <w:rPr>
                <w:rFonts w:hint="eastAsia"/>
                <w:sz w:val="18"/>
                <w:szCs w:val="18"/>
                <w:vertAlign w:val="baseline"/>
                <w:lang w:val="en-US" w:eastAsia="zh-CN"/>
              </w:rPr>
              <w:t>备注：</w:t>
            </w: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2"/>
      </w:pPr>
    </w:p>
    <w:p>
      <w:pPr>
        <w:rPr>
          <w:rFonts w:hint="eastAsia" w:eastAsia="宋体"/>
          <w:lang w:val="en-US" w:eastAsia="zh-CN"/>
        </w:rPr>
      </w:pPr>
      <w:r>
        <w:rPr>
          <w:rFonts w:hint="eastAsia" w:eastAsia="宋体"/>
          <w:lang w:val="en-US" w:eastAsia="zh-CN"/>
        </w:rPr>
        <w:br w:type="page"/>
      </w:r>
    </w:p>
    <w:p>
      <w:pPr>
        <w:pStyle w:val="12"/>
        <w:rPr>
          <w:rFonts w:hint="eastAsia" w:ascii="新宋体" w:hAnsi="新宋体" w:eastAsia="新宋体" w:cs="Times New Roman"/>
          <w:b/>
          <w:bCs/>
          <w:kern w:val="2"/>
          <w:sz w:val="28"/>
          <w:szCs w:val="28"/>
          <w:lang w:val="en-US" w:eastAsia="zh-CN" w:bidi="ar-SA"/>
        </w:rPr>
      </w:pPr>
      <w:r>
        <w:rPr>
          <w:rFonts w:hint="eastAsia" w:ascii="新宋体" w:hAnsi="新宋体" w:eastAsia="新宋体" w:cs="Times New Roman"/>
          <w:b/>
          <w:bCs/>
          <w:kern w:val="2"/>
          <w:sz w:val="28"/>
          <w:szCs w:val="28"/>
          <w:lang w:val="en-US" w:eastAsia="zh-CN" w:bidi="ar-SA"/>
        </w:rPr>
        <w:t>附件2：设备需求参数配置对照表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4407"/>
        <w:gridCol w:w="2009"/>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1" w:type="dxa"/>
            <w:gridSpan w:val="3"/>
          </w:tcPr>
          <w:p>
            <w:pPr>
              <w:pStyle w:val="13"/>
              <w:numPr>
                <w:ilvl w:val="0"/>
                <w:numId w:val="0"/>
              </w:numPr>
              <w:bidi w:val="0"/>
              <w:jc w:val="center"/>
              <w:rPr>
                <w:rFonts w:hint="default"/>
                <w:sz w:val="24"/>
                <w:szCs w:val="24"/>
                <w:vertAlign w:val="baseline"/>
                <w:lang w:val="en-US" w:eastAsia="zh-CN"/>
              </w:rPr>
            </w:pPr>
            <w:r>
              <w:rPr>
                <w:rFonts w:hint="eastAsia"/>
                <w:b w:val="0"/>
                <w:bCs w:val="0"/>
                <w:sz w:val="24"/>
                <w:szCs w:val="24"/>
                <w:lang w:val="en-US" w:eastAsia="zh-CN"/>
              </w:rPr>
              <w:t>化学发光仪</w:t>
            </w:r>
          </w:p>
        </w:tc>
        <w:tc>
          <w:tcPr>
            <w:tcW w:w="1389" w:type="dxa"/>
          </w:tcPr>
          <w:p>
            <w:pPr>
              <w:pStyle w:val="13"/>
              <w:numPr>
                <w:ilvl w:val="0"/>
                <w:numId w:val="0"/>
              </w:numPr>
              <w:bidi w:val="0"/>
              <w:jc w:val="center"/>
              <w:rPr>
                <w:rFonts w:hint="default"/>
                <w:sz w:val="24"/>
                <w:szCs w:val="24"/>
                <w:vertAlign w:val="baseline"/>
                <w:lang w:val="en-US" w:eastAsia="zh-CN"/>
              </w:rPr>
            </w:pPr>
            <w:r>
              <w:rPr>
                <w:rFonts w:hint="eastAsia"/>
                <w:sz w:val="24"/>
                <w:szCs w:val="24"/>
                <w:vertAlign w:val="baseline"/>
                <w:lang w:val="en-US" w:eastAsia="zh-CN"/>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pStyle w:val="13"/>
              <w:numPr>
                <w:ilvl w:val="0"/>
                <w:numId w:val="0"/>
              </w:numPr>
              <w:bidi w:val="0"/>
              <w:jc w:val="left"/>
              <w:rPr>
                <w:rFonts w:hint="eastAsia"/>
                <w:sz w:val="24"/>
                <w:szCs w:val="24"/>
                <w:vertAlign w:val="baseline"/>
                <w:lang w:val="en-US" w:eastAsia="zh-CN"/>
              </w:rPr>
            </w:pPr>
          </w:p>
        </w:tc>
        <w:tc>
          <w:tcPr>
            <w:tcW w:w="4407" w:type="dxa"/>
          </w:tcPr>
          <w:p>
            <w:pPr>
              <w:pStyle w:val="13"/>
              <w:numPr>
                <w:ilvl w:val="0"/>
                <w:numId w:val="0"/>
              </w:numPr>
              <w:bidi w:val="0"/>
              <w:jc w:val="left"/>
              <w:rPr>
                <w:rFonts w:hint="default"/>
                <w:sz w:val="24"/>
                <w:szCs w:val="24"/>
                <w:vertAlign w:val="baseline"/>
                <w:lang w:val="en-US" w:eastAsia="zh-CN"/>
              </w:rPr>
            </w:pPr>
            <w:r>
              <w:rPr>
                <w:rFonts w:hint="eastAsia"/>
                <w:sz w:val="24"/>
                <w:szCs w:val="24"/>
                <w:vertAlign w:val="baseline"/>
                <w:lang w:val="en-US" w:eastAsia="zh-CN"/>
              </w:rPr>
              <w:t>需求参数</w:t>
            </w:r>
          </w:p>
        </w:tc>
        <w:tc>
          <w:tcPr>
            <w:tcW w:w="2009" w:type="dxa"/>
          </w:tcPr>
          <w:p>
            <w:pPr>
              <w:pStyle w:val="13"/>
              <w:numPr>
                <w:ilvl w:val="0"/>
                <w:numId w:val="0"/>
              </w:numPr>
              <w:bidi w:val="0"/>
              <w:jc w:val="left"/>
              <w:rPr>
                <w:rFonts w:hint="default"/>
                <w:sz w:val="24"/>
                <w:szCs w:val="24"/>
                <w:vertAlign w:val="baseline"/>
                <w:lang w:val="en-US" w:eastAsia="zh-CN"/>
              </w:rPr>
            </w:pPr>
            <w:r>
              <w:rPr>
                <w:rFonts w:hint="eastAsia"/>
                <w:sz w:val="24"/>
                <w:szCs w:val="24"/>
                <w:vertAlign w:val="baseline"/>
                <w:lang w:val="en-US" w:eastAsia="zh-CN"/>
              </w:rPr>
              <w:t>应标参数</w:t>
            </w:r>
          </w:p>
        </w:tc>
        <w:tc>
          <w:tcPr>
            <w:tcW w:w="1389" w:type="dxa"/>
          </w:tcPr>
          <w:p>
            <w:pPr>
              <w:pStyle w:val="13"/>
              <w:numPr>
                <w:ilvl w:val="0"/>
                <w:numId w:val="0"/>
              </w:numPr>
              <w:bidi w:val="0"/>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15" w:type="dxa"/>
            <w:vAlign w:val="top"/>
          </w:tcPr>
          <w:p>
            <w:pPr>
              <w:pStyle w:val="13"/>
              <w:numPr>
                <w:ilvl w:val="0"/>
                <w:numId w:val="0"/>
              </w:numPr>
              <w:bidi w:val="0"/>
              <w:ind w:left="0" w:leftChars="0" w:firstLine="0" w:firstLineChars="0"/>
              <w:rPr>
                <w:rFonts w:hint="default"/>
                <w:sz w:val="24"/>
                <w:szCs w:val="24"/>
                <w:vertAlign w:val="baseline"/>
                <w:lang w:val="en-US" w:eastAsia="zh-CN"/>
              </w:rPr>
            </w:pPr>
            <w:r>
              <w:rPr>
                <w:rFonts w:hint="eastAsia"/>
                <w:b w:val="0"/>
                <w:bCs w:val="0"/>
                <w:sz w:val="24"/>
                <w:szCs w:val="24"/>
                <w:vertAlign w:val="baseline"/>
                <w:lang w:val="en-US" w:eastAsia="zh-CN"/>
              </w:rPr>
              <w:t>*1</w:t>
            </w:r>
          </w:p>
        </w:tc>
        <w:tc>
          <w:tcPr>
            <w:tcW w:w="4407" w:type="dxa"/>
            <w:vAlign w:val="top"/>
          </w:tcPr>
          <w:p>
            <w:pPr>
              <w:pStyle w:val="13"/>
              <w:numPr>
                <w:ilvl w:val="0"/>
                <w:numId w:val="0"/>
              </w:numPr>
              <w:bidi w:val="0"/>
              <w:ind w:left="0" w:leftChars="0" w:firstLine="0" w:firstLineChars="0"/>
              <w:rPr>
                <w:rFonts w:hint="default"/>
                <w:sz w:val="24"/>
                <w:szCs w:val="24"/>
                <w:vertAlign w:val="baseline"/>
                <w:lang w:val="en-US" w:eastAsia="zh-CN"/>
              </w:rPr>
            </w:pPr>
            <w:r>
              <w:rPr>
                <w:rFonts w:hint="eastAsia"/>
                <w:b w:val="0"/>
                <w:bCs w:val="0"/>
                <w:sz w:val="24"/>
                <w:szCs w:val="24"/>
                <w:vertAlign w:val="baseline"/>
                <w:lang w:val="en-US" w:eastAsia="zh-CN"/>
              </w:rPr>
              <w:t>方法学：碱性磷酸酶体系化学发光法</w:t>
            </w:r>
          </w:p>
        </w:tc>
        <w:tc>
          <w:tcPr>
            <w:tcW w:w="2009" w:type="dxa"/>
          </w:tcPr>
          <w:p>
            <w:pPr>
              <w:pStyle w:val="13"/>
              <w:numPr>
                <w:ilvl w:val="0"/>
                <w:numId w:val="0"/>
              </w:numPr>
              <w:bidi w:val="0"/>
              <w:jc w:val="left"/>
              <w:rPr>
                <w:rFonts w:hint="eastAsia"/>
                <w:sz w:val="24"/>
                <w:szCs w:val="24"/>
                <w:vertAlign w:val="baseline"/>
                <w:lang w:val="en-US" w:eastAsia="zh-CN"/>
              </w:rPr>
            </w:pPr>
          </w:p>
        </w:tc>
        <w:tc>
          <w:tcPr>
            <w:tcW w:w="1389" w:type="dxa"/>
          </w:tcPr>
          <w:p>
            <w:pPr>
              <w:pStyle w:val="13"/>
              <w:numPr>
                <w:ilvl w:val="0"/>
                <w:numId w:val="0"/>
              </w:numPr>
              <w:bidi w:val="0"/>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15" w:type="dxa"/>
            <w:vAlign w:val="top"/>
          </w:tcPr>
          <w:p>
            <w:pPr>
              <w:pStyle w:val="13"/>
              <w:numPr>
                <w:ilvl w:val="0"/>
                <w:numId w:val="0"/>
              </w:numPr>
              <w:bidi w:val="0"/>
              <w:ind w:left="0" w:leftChars="0" w:firstLine="0" w:firstLineChars="0"/>
              <w:rPr>
                <w:rFonts w:hint="default"/>
                <w:sz w:val="24"/>
                <w:szCs w:val="24"/>
                <w:vertAlign w:val="baseline"/>
                <w:lang w:val="en-US" w:eastAsia="zh-CN"/>
              </w:rPr>
            </w:pPr>
            <w:r>
              <w:rPr>
                <w:rFonts w:hint="eastAsia"/>
                <w:b w:val="0"/>
                <w:bCs w:val="0"/>
                <w:sz w:val="24"/>
                <w:szCs w:val="24"/>
                <w:vertAlign w:val="baseline"/>
                <w:lang w:val="en-US" w:eastAsia="zh-CN"/>
              </w:rPr>
              <w:t>*2</w:t>
            </w:r>
          </w:p>
        </w:tc>
        <w:tc>
          <w:tcPr>
            <w:tcW w:w="4407" w:type="dxa"/>
            <w:vAlign w:val="top"/>
          </w:tcPr>
          <w:p>
            <w:pPr>
              <w:pStyle w:val="13"/>
              <w:numPr>
                <w:ilvl w:val="0"/>
                <w:numId w:val="0"/>
              </w:numPr>
              <w:bidi w:val="0"/>
              <w:ind w:left="0" w:leftChars="0" w:firstLine="0" w:firstLineChars="0"/>
              <w:rPr>
                <w:rFonts w:hint="eastAsia"/>
                <w:sz w:val="24"/>
                <w:szCs w:val="24"/>
                <w:vertAlign w:val="baseline"/>
                <w:lang w:val="en-US" w:eastAsia="zh-CN"/>
              </w:rPr>
            </w:pPr>
            <w:r>
              <w:rPr>
                <w:rFonts w:hint="eastAsia"/>
                <w:b w:val="0"/>
                <w:bCs w:val="0"/>
                <w:sz w:val="24"/>
                <w:szCs w:val="24"/>
                <w:vertAlign w:val="baseline"/>
                <w:lang w:val="en-US" w:eastAsia="zh-CN"/>
              </w:rPr>
              <w:t>单机检测速度：≥600T/h</w:t>
            </w:r>
          </w:p>
        </w:tc>
        <w:tc>
          <w:tcPr>
            <w:tcW w:w="2009" w:type="dxa"/>
          </w:tcPr>
          <w:p>
            <w:pPr>
              <w:pStyle w:val="13"/>
              <w:numPr>
                <w:ilvl w:val="0"/>
                <w:numId w:val="0"/>
              </w:numPr>
              <w:bidi w:val="0"/>
              <w:jc w:val="left"/>
              <w:rPr>
                <w:rFonts w:hint="eastAsia"/>
                <w:sz w:val="24"/>
                <w:szCs w:val="24"/>
                <w:vertAlign w:val="baseline"/>
                <w:lang w:val="en-US" w:eastAsia="zh-CN"/>
              </w:rPr>
            </w:pPr>
          </w:p>
        </w:tc>
        <w:tc>
          <w:tcPr>
            <w:tcW w:w="1389" w:type="dxa"/>
          </w:tcPr>
          <w:p>
            <w:pPr>
              <w:pStyle w:val="13"/>
              <w:numPr>
                <w:ilvl w:val="0"/>
                <w:numId w:val="0"/>
              </w:numPr>
              <w:bidi w:val="0"/>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15" w:type="dxa"/>
            <w:vAlign w:val="top"/>
          </w:tcPr>
          <w:p>
            <w:pPr>
              <w:pStyle w:val="13"/>
              <w:numPr>
                <w:ilvl w:val="0"/>
                <w:numId w:val="0"/>
              </w:numPr>
              <w:bidi w:val="0"/>
              <w:ind w:left="0" w:leftChars="0" w:firstLine="0" w:firstLineChars="0"/>
              <w:rPr>
                <w:rFonts w:hint="default"/>
                <w:sz w:val="24"/>
                <w:szCs w:val="24"/>
                <w:vertAlign w:val="baseline"/>
                <w:lang w:val="en-US" w:eastAsia="zh-CN"/>
              </w:rPr>
            </w:pPr>
            <w:r>
              <w:rPr>
                <w:rFonts w:hint="eastAsia"/>
                <w:b w:val="0"/>
                <w:bCs w:val="0"/>
                <w:sz w:val="24"/>
                <w:szCs w:val="24"/>
                <w:vertAlign w:val="baseline"/>
                <w:lang w:val="en-US" w:eastAsia="zh-CN"/>
              </w:rPr>
              <w:t>3</w:t>
            </w:r>
          </w:p>
        </w:tc>
        <w:tc>
          <w:tcPr>
            <w:tcW w:w="4407" w:type="dxa"/>
            <w:vAlign w:val="top"/>
          </w:tcPr>
          <w:p>
            <w:pPr>
              <w:pStyle w:val="13"/>
              <w:numPr>
                <w:ilvl w:val="0"/>
                <w:numId w:val="0"/>
              </w:numPr>
              <w:bidi w:val="0"/>
              <w:ind w:left="0" w:leftChars="0" w:firstLine="0" w:firstLineChars="0"/>
              <w:rPr>
                <w:rFonts w:hint="eastAsia"/>
                <w:sz w:val="24"/>
                <w:szCs w:val="24"/>
                <w:vertAlign w:val="baseline"/>
                <w:lang w:val="en-US" w:eastAsia="zh-CN"/>
              </w:rPr>
            </w:pPr>
            <w:r>
              <w:rPr>
                <w:rFonts w:hint="eastAsia"/>
                <w:b w:val="0"/>
                <w:bCs w:val="0"/>
                <w:sz w:val="24"/>
                <w:szCs w:val="24"/>
                <w:vertAlign w:val="baseline"/>
                <w:lang w:val="en-US" w:eastAsia="zh-CN"/>
              </w:rPr>
              <w:t>单机样本位：≥360个</w:t>
            </w:r>
          </w:p>
        </w:tc>
        <w:tc>
          <w:tcPr>
            <w:tcW w:w="2009" w:type="dxa"/>
          </w:tcPr>
          <w:p>
            <w:pPr>
              <w:pStyle w:val="13"/>
              <w:numPr>
                <w:ilvl w:val="0"/>
                <w:numId w:val="0"/>
              </w:numPr>
              <w:bidi w:val="0"/>
              <w:jc w:val="left"/>
              <w:rPr>
                <w:rFonts w:hint="eastAsia"/>
                <w:sz w:val="24"/>
                <w:szCs w:val="24"/>
                <w:vertAlign w:val="baseline"/>
                <w:lang w:val="en-US" w:eastAsia="zh-CN"/>
              </w:rPr>
            </w:pPr>
          </w:p>
        </w:tc>
        <w:tc>
          <w:tcPr>
            <w:tcW w:w="1389" w:type="dxa"/>
          </w:tcPr>
          <w:p>
            <w:pPr>
              <w:pStyle w:val="13"/>
              <w:numPr>
                <w:ilvl w:val="0"/>
                <w:numId w:val="0"/>
              </w:numPr>
              <w:bidi w:val="0"/>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15" w:type="dxa"/>
            <w:vAlign w:val="top"/>
          </w:tcPr>
          <w:p>
            <w:pPr>
              <w:pStyle w:val="13"/>
              <w:numPr>
                <w:ilvl w:val="0"/>
                <w:numId w:val="0"/>
              </w:numPr>
              <w:bidi w:val="0"/>
              <w:ind w:left="0" w:leftChars="0" w:firstLine="0" w:firstLineChars="0"/>
              <w:rPr>
                <w:rFonts w:hint="default"/>
                <w:sz w:val="24"/>
                <w:szCs w:val="24"/>
                <w:vertAlign w:val="baseline"/>
                <w:lang w:val="en-US" w:eastAsia="zh-CN"/>
              </w:rPr>
            </w:pPr>
            <w:r>
              <w:rPr>
                <w:rFonts w:hint="eastAsia"/>
                <w:b w:val="0"/>
                <w:bCs w:val="0"/>
                <w:sz w:val="24"/>
                <w:szCs w:val="24"/>
                <w:vertAlign w:val="baseline"/>
                <w:lang w:val="en-US" w:eastAsia="zh-CN"/>
              </w:rPr>
              <w:t>4</w:t>
            </w:r>
          </w:p>
        </w:tc>
        <w:tc>
          <w:tcPr>
            <w:tcW w:w="4407" w:type="dxa"/>
            <w:vAlign w:val="top"/>
          </w:tcPr>
          <w:p>
            <w:pPr>
              <w:pStyle w:val="13"/>
              <w:numPr>
                <w:ilvl w:val="0"/>
                <w:numId w:val="0"/>
              </w:numPr>
              <w:bidi w:val="0"/>
              <w:ind w:left="0" w:leftChars="0" w:firstLine="0" w:firstLineChars="0"/>
              <w:rPr>
                <w:rFonts w:hint="eastAsia"/>
                <w:sz w:val="24"/>
                <w:szCs w:val="24"/>
                <w:vertAlign w:val="baseline"/>
                <w:lang w:val="en-US" w:eastAsia="zh-CN"/>
              </w:rPr>
            </w:pPr>
            <w:r>
              <w:rPr>
                <w:rFonts w:hint="eastAsia"/>
                <w:b w:val="0"/>
                <w:bCs w:val="0"/>
                <w:sz w:val="24"/>
                <w:szCs w:val="24"/>
                <w:vertAlign w:val="baseline"/>
                <w:lang w:val="en-US" w:eastAsia="zh-CN"/>
              </w:rPr>
              <w:t>单机试剂位：≥40个</w:t>
            </w:r>
          </w:p>
        </w:tc>
        <w:tc>
          <w:tcPr>
            <w:tcW w:w="2009" w:type="dxa"/>
          </w:tcPr>
          <w:p>
            <w:pPr>
              <w:pStyle w:val="13"/>
              <w:numPr>
                <w:ilvl w:val="0"/>
                <w:numId w:val="0"/>
              </w:numPr>
              <w:bidi w:val="0"/>
              <w:jc w:val="left"/>
              <w:rPr>
                <w:rFonts w:hint="eastAsia"/>
                <w:sz w:val="24"/>
                <w:szCs w:val="24"/>
                <w:vertAlign w:val="baseline"/>
                <w:lang w:val="en-US" w:eastAsia="zh-CN"/>
              </w:rPr>
            </w:pPr>
          </w:p>
        </w:tc>
        <w:tc>
          <w:tcPr>
            <w:tcW w:w="1389" w:type="dxa"/>
          </w:tcPr>
          <w:p>
            <w:pPr>
              <w:pStyle w:val="13"/>
              <w:numPr>
                <w:ilvl w:val="0"/>
                <w:numId w:val="0"/>
              </w:numPr>
              <w:bidi w:val="0"/>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15" w:type="dxa"/>
            <w:vAlign w:val="top"/>
          </w:tcPr>
          <w:p>
            <w:pPr>
              <w:pStyle w:val="13"/>
              <w:numPr>
                <w:ilvl w:val="0"/>
                <w:numId w:val="0"/>
              </w:numPr>
              <w:bidi w:val="0"/>
              <w:ind w:left="0" w:leftChars="0" w:firstLine="0" w:firstLineChars="0"/>
              <w:rPr>
                <w:rFonts w:hint="default"/>
                <w:sz w:val="24"/>
                <w:szCs w:val="24"/>
                <w:vertAlign w:val="baseline"/>
                <w:lang w:val="en-US" w:eastAsia="zh-CN"/>
              </w:rPr>
            </w:pPr>
            <w:r>
              <w:rPr>
                <w:rFonts w:hint="eastAsia"/>
                <w:b w:val="0"/>
                <w:bCs w:val="0"/>
                <w:sz w:val="24"/>
                <w:szCs w:val="24"/>
                <w:vertAlign w:val="baseline"/>
                <w:lang w:val="en-US" w:eastAsia="zh-CN"/>
              </w:rPr>
              <w:t>5</w:t>
            </w:r>
          </w:p>
        </w:tc>
        <w:tc>
          <w:tcPr>
            <w:tcW w:w="4407" w:type="dxa"/>
            <w:vAlign w:val="top"/>
          </w:tcPr>
          <w:p>
            <w:pPr>
              <w:pStyle w:val="13"/>
              <w:numPr>
                <w:ilvl w:val="0"/>
                <w:numId w:val="0"/>
              </w:numPr>
              <w:bidi w:val="0"/>
              <w:ind w:left="0" w:leftChars="0" w:firstLine="0" w:firstLineChars="0"/>
              <w:rPr>
                <w:rFonts w:hint="eastAsia"/>
                <w:sz w:val="24"/>
                <w:szCs w:val="24"/>
                <w:vertAlign w:val="baseline"/>
                <w:lang w:val="en-US" w:eastAsia="zh-CN"/>
              </w:rPr>
            </w:pPr>
            <w:r>
              <w:rPr>
                <w:rFonts w:hint="eastAsia"/>
                <w:b w:val="0"/>
                <w:bCs w:val="0"/>
                <w:sz w:val="24"/>
                <w:szCs w:val="24"/>
                <w:vertAlign w:val="baseline"/>
                <w:lang w:val="en-US" w:eastAsia="zh-CN"/>
              </w:rPr>
              <w:t>可与LIS接口连接，支持双向通讯</w:t>
            </w:r>
          </w:p>
        </w:tc>
        <w:tc>
          <w:tcPr>
            <w:tcW w:w="2009" w:type="dxa"/>
          </w:tcPr>
          <w:p>
            <w:pPr>
              <w:pStyle w:val="13"/>
              <w:numPr>
                <w:ilvl w:val="0"/>
                <w:numId w:val="0"/>
              </w:numPr>
              <w:bidi w:val="0"/>
              <w:jc w:val="left"/>
              <w:rPr>
                <w:rFonts w:hint="eastAsia"/>
                <w:sz w:val="24"/>
                <w:szCs w:val="24"/>
                <w:vertAlign w:val="baseline"/>
                <w:lang w:val="en-US" w:eastAsia="zh-CN"/>
              </w:rPr>
            </w:pPr>
          </w:p>
        </w:tc>
        <w:tc>
          <w:tcPr>
            <w:tcW w:w="1389" w:type="dxa"/>
          </w:tcPr>
          <w:p>
            <w:pPr>
              <w:pStyle w:val="13"/>
              <w:numPr>
                <w:ilvl w:val="0"/>
                <w:numId w:val="0"/>
              </w:numPr>
              <w:bidi w:val="0"/>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15" w:type="dxa"/>
            <w:vAlign w:val="top"/>
          </w:tcPr>
          <w:p>
            <w:pPr>
              <w:pStyle w:val="13"/>
              <w:numPr>
                <w:ilvl w:val="0"/>
                <w:numId w:val="0"/>
              </w:numPr>
              <w:bidi w:val="0"/>
              <w:ind w:left="0" w:leftChars="0" w:firstLine="0" w:firstLineChars="0"/>
              <w:rPr>
                <w:rFonts w:hint="eastAsia"/>
                <w:sz w:val="24"/>
                <w:szCs w:val="24"/>
                <w:vertAlign w:val="baseline"/>
                <w:lang w:val="en-US" w:eastAsia="zh-CN"/>
              </w:rPr>
            </w:pPr>
            <w:r>
              <w:rPr>
                <w:rFonts w:hint="eastAsia"/>
                <w:b w:val="0"/>
                <w:bCs w:val="0"/>
                <w:sz w:val="24"/>
                <w:szCs w:val="24"/>
                <w:vertAlign w:val="baseline"/>
                <w:lang w:val="en-US" w:eastAsia="zh-CN"/>
              </w:rPr>
              <w:t>6</w:t>
            </w:r>
          </w:p>
        </w:tc>
        <w:tc>
          <w:tcPr>
            <w:tcW w:w="4407" w:type="dxa"/>
            <w:vAlign w:val="top"/>
          </w:tcPr>
          <w:p>
            <w:pPr>
              <w:pStyle w:val="13"/>
              <w:numPr>
                <w:ilvl w:val="0"/>
                <w:numId w:val="0"/>
              </w:numPr>
              <w:bidi w:val="0"/>
              <w:ind w:left="0" w:leftChars="0" w:firstLine="0" w:firstLineChars="0"/>
              <w:rPr>
                <w:rFonts w:hint="eastAsia"/>
                <w:sz w:val="24"/>
                <w:szCs w:val="24"/>
                <w:vertAlign w:val="baseline"/>
                <w:lang w:val="en-US" w:eastAsia="zh-CN"/>
              </w:rPr>
            </w:pPr>
            <w:r>
              <w:rPr>
                <w:rFonts w:hint="eastAsia"/>
                <w:b w:val="0"/>
                <w:bCs w:val="0"/>
                <w:sz w:val="24"/>
                <w:szCs w:val="24"/>
                <w:vertAlign w:val="baseline"/>
                <w:lang w:val="en-US" w:eastAsia="zh-CN"/>
              </w:rPr>
              <w:t>试剂开瓶有效期：≥31天</w:t>
            </w:r>
          </w:p>
        </w:tc>
        <w:tc>
          <w:tcPr>
            <w:tcW w:w="2009" w:type="dxa"/>
          </w:tcPr>
          <w:p>
            <w:pPr>
              <w:pStyle w:val="13"/>
              <w:numPr>
                <w:ilvl w:val="0"/>
                <w:numId w:val="0"/>
              </w:numPr>
              <w:bidi w:val="0"/>
              <w:jc w:val="left"/>
              <w:rPr>
                <w:rFonts w:hint="eastAsia"/>
                <w:sz w:val="24"/>
                <w:szCs w:val="24"/>
                <w:vertAlign w:val="baseline"/>
                <w:lang w:val="en-US" w:eastAsia="zh-CN"/>
              </w:rPr>
            </w:pPr>
          </w:p>
        </w:tc>
        <w:tc>
          <w:tcPr>
            <w:tcW w:w="1389" w:type="dxa"/>
          </w:tcPr>
          <w:p>
            <w:pPr>
              <w:pStyle w:val="13"/>
              <w:numPr>
                <w:ilvl w:val="0"/>
                <w:numId w:val="0"/>
              </w:numPr>
              <w:bidi w:val="0"/>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15" w:type="dxa"/>
            <w:vAlign w:val="top"/>
          </w:tcPr>
          <w:p>
            <w:pPr>
              <w:pStyle w:val="13"/>
              <w:numPr>
                <w:ilvl w:val="0"/>
                <w:numId w:val="0"/>
              </w:numPr>
              <w:bidi w:val="0"/>
              <w:ind w:left="0" w:leftChars="0" w:firstLine="0" w:firstLineChars="0"/>
              <w:rPr>
                <w:rFonts w:hint="eastAsia"/>
                <w:sz w:val="24"/>
                <w:szCs w:val="24"/>
                <w:vertAlign w:val="baseline"/>
                <w:lang w:val="en-US" w:eastAsia="zh-CN"/>
              </w:rPr>
            </w:pPr>
            <w:r>
              <w:rPr>
                <w:rFonts w:hint="eastAsia"/>
                <w:b w:val="0"/>
                <w:bCs w:val="0"/>
                <w:sz w:val="24"/>
                <w:szCs w:val="24"/>
                <w:vertAlign w:val="baseline"/>
                <w:lang w:val="en-US" w:eastAsia="zh-CN"/>
              </w:rPr>
              <w:t>7</w:t>
            </w:r>
          </w:p>
        </w:tc>
        <w:tc>
          <w:tcPr>
            <w:tcW w:w="4407" w:type="dxa"/>
            <w:vAlign w:val="top"/>
          </w:tcPr>
          <w:p>
            <w:pPr>
              <w:pStyle w:val="13"/>
              <w:numPr>
                <w:ilvl w:val="0"/>
                <w:numId w:val="0"/>
              </w:numPr>
              <w:bidi w:val="0"/>
              <w:ind w:left="0" w:leftChars="0" w:firstLine="0" w:firstLineChars="0"/>
              <w:rPr>
                <w:rFonts w:hint="eastAsia"/>
                <w:sz w:val="24"/>
                <w:szCs w:val="24"/>
                <w:vertAlign w:val="baseline"/>
                <w:lang w:val="en-US" w:eastAsia="zh-CN"/>
              </w:rPr>
            </w:pPr>
            <w:r>
              <w:rPr>
                <w:rFonts w:hint="eastAsia"/>
                <w:b w:val="0"/>
                <w:bCs w:val="0"/>
                <w:sz w:val="24"/>
                <w:szCs w:val="24"/>
                <w:vertAlign w:val="baseline"/>
                <w:lang w:val="en-US" w:eastAsia="zh-CN"/>
              </w:rPr>
              <w:t>可接入流水线，轨道式进样</w:t>
            </w:r>
          </w:p>
        </w:tc>
        <w:tc>
          <w:tcPr>
            <w:tcW w:w="2009" w:type="dxa"/>
          </w:tcPr>
          <w:p>
            <w:pPr>
              <w:pStyle w:val="13"/>
              <w:numPr>
                <w:ilvl w:val="0"/>
                <w:numId w:val="0"/>
              </w:numPr>
              <w:bidi w:val="0"/>
              <w:jc w:val="left"/>
              <w:rPr>
                <w:rFonts w:hint="eastAsia"/>
                <w:sz w:val="24"/>
                <w:szCs w:val="24"/>
                <w:vertAlign w:val="baseline"/>
                <w:lang w:val="en-US" w:eastAsia="zh-CN"/>
              </w:rPr>
            </w:pPr>
          </w:p>
        </w:tc>
        <w:tc>
          <w:tcPr>
            <w:tcW w:w="1389" w:type="dxa"/>
          </w:tcPr>
          <w:p>
            <w:pPr>
              <w:pStyle w:val="13"/>
              <w:numPr>
                <w:ilvl w:val="0"/>
                <w:numId w:val="0"/>
              </w:numPr>
              <w:bidi w:val="0"/>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15" w:type="dxa"/>
            <w:vAlign w:val="top"/>
          </w:tcPr>
          <w:p>
            <w:pPr>
              <w:pStyle w:val="13"/>
              <w:numPr>
                <w:ilvl w:val="0"/>
                <w:numId w:val="0"/>
              </w:numPr>
              <w:bidi w:val="0"/>
              <w:ind w:left="0" w:leftChars="0" w:firstLine="0" w:firstLineChars="0"/>
              <w:rPr>
                <w:rFonts w:hint="default"/>
                <w:sz w:val="24"/>
                <w:szCs w:val="24"/>
                <w:vertAlign w:val="baseline"/>
                <w:lang w:val="en-US" w:eastAsia="zh-CN"/>
              </w:rPr>
            </w:pPr>
            <w:r>
              <w:rPr>
                <w:rFonts w:hint="eastAsia"/>
                <w:b w:val="0"/>
                <w:bCs w:val="0"/>
                <w:sz w:val="24"/>
                <w:szCs w:val="24"/>
                <w:vertAlign w:val="baseline"/>
                <w:lang w:val="en-US" w:eastAsia="zh-CN"/>
              </w:rPr>
              <w:t>*8</w:t>
            </w:r>
          </w:p>
        </w:tc>
        <w:tc>
          <w:tcPr>
            <w:tcW w:w="4407" w:type="dxa"/>
            <w:vAlign w:val="top"/>
          </w:tcPr>
          <w:p>
            <w:pPr>
              <w:pStyle w:val="13"/>
              <w:numPr>
                <w:ilvl w:val="0"/>
                <w:numId w:val="0"/>
              </w:numPr>
              <w:bidi w:val="0"/>
              <w:ind w:left="0" w:leftChars="0" w:firstLine="0" w:firstLineChars="0"/>
              <w:rPr>
                <w:rFonts w:hint="eastAsia"/>
                <w:sz w:val="24"/>
                <w:szCs w:val="24"/>
                <w:vertAlign w:val="baseline"/>
                <w:lang w:val="en-US" w:eastAsia="zh-CN"/>
              </w:rPr>
            </w:pPr>
            <w:r>
              <w:rPr>
                <w:rFonts w:hint="eastAsia"/>
                <w:b w:val="0"/>
                <w:bCs w:val="0"/>
                <w:sz w:val="24"/>
                <w:szCs w:val="24"/>
                <w:vertAlign w:val="baseline"/>
                <w:lang w:val="en-US" w:eastAsia="zh-CN"/>
              </w:rPr>
              <w:t>常规全自动发光仪器（落地式，非POCT仪）</w:t>
            </w:r>
          </w:p>
        </w:tc>
        <w:tc>
          <w:tcPr>
            <w:tcW w:w="2009" w:type="dxa"/>
          </w:tcPr>
          <w:p>
            <w:pPr>
              <w:pStyle w:val="13"/>
              <w:numPr>
                <w:ilvl w:val="0"/>
                <w:numId w:val="0"/>
              </w:numPr>
              <w:bidi w:val="0"/>
              <w:jc w:val="left"/>
              <w:rPr>
                <w:rFonts w:hint="eastAsia"/>
                <w:sz w:val="24"/>
                <w:szCs w:val="24"/>
                <w:vertAlign w:val="baseline"/>
                <w:lang w:val="en-US" w:eastAsia="zh-CN"/>
              </w:rPr>
            </w:pPr>
          </w:p>
        </w:tc>
        <w:tc>
          <w:tcPr>
            <w:tcW w:w="1389" w:type="dxa"/>
          </w:tcPr>
          <w:p>
            <w:pPr>
              <w:pStyle w:val="13"/>
              <w:numPr>
                <w:ilvl w:val="0"/>
                <w:numId w:val="0"/>
              </w:numPr>
              <w:bidi w:val="0"/>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pStyle w:val="13"/>
              <w:numPr>
                <w:ilvl w:val="0"/>
                <w:numId w:val="0"/>
              </w:numPr>
              <w:bidi w:val="0"/>
              <w:jc w:val="left"/>
              <w:rPr>
                <w:rFonts w:hint="eastAsia"/>
                <w:sz w:val="24"/>
                <w:szCs w:val="24"/>
                <w:vertAlign w:val="baseline"/>
                <w:lang w:val="en-US" w:eastAsia="zh-CN"/>
              </w:rPr>
            </w:pPr>
          </w:p>
        </w:tc>
        <w:tc>
          <w:tcPr>
            <w:tcW w:w="4407" w:type="dxa"/>
          </w:tcPr>
          <w:p>
            <w:pPr>
              <w:pStyle w:val="13"/>
              <w:numPr>
                <w:ilvl w:val="0"/>
                <w:numId w:val="0"/>
              </w:numPr>
              <w:bidi w:val="0"/>
              <w:jc w:val="left"/>
              <w:rPr>
                <w:rFonts w:hint="default"/>
                <w:sz w:val="24"/>
                <w:szCs w:val="24"/>
                <w:vertAlign w:val="baseline"/>
                <w:lang w:val="en-US" w:eastAsia="zh-CN"/>
              </w:rPr>
            </w:pPr>
            <w:r>
              <w:rPr>
                <w:rFonts w:hint="eastAsia"/>
                <w:sz w:val="24"/>
                <w:szCs w:val="24"/>
                <w:vertAlign w:val="baseline"/>
                <w:lang w:val="en-US" w:eastAsia="zh-CN"/>
              </w:rPr>
              <w:t>需求配置</w:t>
            </w:r>
          </w:p>
        </w:tc>
        <w:tc>
          <w:tcPr>
            <w:tcW w:w="2009" w:type="dxa"/>
          </w:tcPr>
          <w:p>
            <w:pPr>
              <w:pStyle w:val="13"/>
              <w:numPr>
                <w:ilvl w:val="0"/>
                <w:numId w:val="0"/>
              </w:numPr>
              <w:bidi w:val="0"/>
              <w:jc w:val="left"/>
              <w:rPr>
                <w:rFonts w:hint="default"/>
                <w:sz w:val="24"/>
                <w:szCs w:val="24"/>
                <w:vertAlign w:val="baseline"/>
                <w:lang w:val="en-US" w:eastAsia="zh-CN"/>
              </w:rPr>
            </w:pPr>
            <w:r>
              <w:rPr>
                <w:rFonts w:hint="eastAsia"/>
                <w:sz w:val="24"/>
                <w:szCs w:val="24"/>
                <w:vertAlign w:val="baseline"/>
                <w:lang w:val="en-US" w:eastAsia="zh-CN"/>
              </w:rPr>
              <w:t>应标配置</w:t>
            </w:r>
          </w:p>
        </w:tc>
        <w:tc>
          <w:tcPr>
            <w:tcW w:w="1389" w:type="dxa"/>
          </w:tcPr>
          <w:p>
            <w:pPr>
              <w:pStyle w:val="13"/>
              <w:numPr>
                <w:ilvl w:val="0"/>
                <w:numId w:val="0"/>
              </w:numPr>
              <w:bidi w:val="0"/>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5" w:type="dxa"/>
            <w:vAlign w:val="top"/>
          </w:tcPr>
          <w:p>
            <w:pPr>
              <w:pStyle w:val="13"/>
              <w:numPr>
                <w:ilvl w:val="0"/>
                <w:numId w:val="0"/>
              </w:numPr>
              <w:bidi w:val="0"/>
              <w:ind w:left="0" w:leftChars="0" w:firstLine="0" w:firstLineChars="0"/>
              <w:rPr>
                <w:rFonts w:hint="default"/>
                <w:sz w:val="24"/>
                <w:szCs w:val="24"/>
                <w:vertAlign w:val="baseline"/>
                <w:lang w:val="en-US" w:eastAsia="zh-CN"/>
              </w:rPr>
            </w:pPr>
            <w:r>
              <w:rPr>
                <w:rFonts w:hint="eastAsia"/>
                <w:b w:val="0"/>
                <w:bCs w:val="0"/>
                <w:sz w:val="24"/>
                <w:szCs w:val="24"/>
                <w:vertAlign w:val="baseline"/>
                <w:lang w:val="en-US" w:eastAsia="zh-CN"/>
              </w:rPr>
              <w:t>1</w:t>
            </w:r>
          </w:p>
        </w:tc>
        <w:tc>
          <w:tcPr>
            <w:tcW w:w="4407" w:type="dxa"/>
            <w:vAlign w:val="top"/>
          </w:tcPr>
          <w:p>
            <w:pPr>
              <w:pStyle w:val="13"/>
              <w:numPr>
                <w:ilvl w:val="0"/>
                <w:numId w:val="0"/>
              </w:numPr>
              <w:bidi w:val="0"/>
              <w:ind w:left="0" w:leftChars="0" w:firstLine="0" w:firstLineChars="0"/>
              <w:rPr>
                <w:rFonts w:hint="default"/>
                <w:sz w:val="24"/>
                <w:szCs w:val="24"/>
                <w:vertAlign w:val="baseline"/>
                <w:lang w:val="en-US" w:eastAsia="zh-CN"/>
              </w:rPr>
            </w:pPr>
            <w:r>
              <w:rPr>
                <w:rFonts w:hint="eastAsia"/>
                <w:b w:val="0"/>
                <w:bCs w:val="0"/>
                <w:sz w:val="24"/>
                <w:szCs w:val="24"/>
                <w:vertAlign w:val="baseline"/>
                <w:lang w:val="en-US" w:eastAsia="zh-CN"/>
              </w:rPr>
              <w:t>化学发光仪主机</w:t>
            </w:r>
          </w:p>
        </w:tc>
        <w:tc>
          <w:tcPr>
            <w:tcW w:w="2009" w:type="dxa"/>
          </w:tcPr>
          <w:p>
            <w:pPr>
              <w:pStyle w:val="13"/>
              <w:numPr>
                <w:ilvl w:val="0"/>
                <w:numId w:val="0"/>
              </w:numPr>
              <w:bidi w:val="0"/>
              <w:jc w:val="left"/>
              <w:rPr>
                <w:rFonts w:hint="eastAsia"/>
                <w:sz w:val="24"/>
                <w:szCs w:val="24"/>
                <w:vertAlign w:val="baseline"/>
                <w:lang w:val="en-US" w:eastAsia="zh-CN"/>
              </w:rPr>
            </w:pPr>
          </w:p>
        </w:tc>
        <w:tc>
          <w:tcPr>
            <w:tcW w:w="1389" w:type="dxa"/>
          </w:tcPr>
          <w:p>
            <w:pPr>
              <w:pStyle w:val="13"/>
              <w:numPr>
                <w:ilvl w:val="0"/>
                <w:numId w:val="0"/>
              </w:numPr>
              <w:bidi w:val="0"/>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5" w:type="dxa"/>
            <w:vAlign w:val="top"/>
          </w:tcPr>
          <w:p>
            <w:pPr>
              <w:pStyle w:val="13"/>
              <w:numPr>
                <w:ilvl w:val="0"/>
                <w:numId w:val="0"/>
              </w:numPr>
              <w:bidi w:val="0"/>
              <w:ind w:left="0" w:leftChars="0" w:firstLine="0" w:firstLineChars="0"/>
              <w:rPr>
                <w:rFonts w:hint="default"/>
                <w:sz w:val="24"/>
                <w:szCs w:val="24"/>
                <w:vertAlign w:val="baseline"/>
                <w:lang w:val="en-US" w:eastAsia="zh-CN"/>
              </w:rPr>
            </w:pPr>
            <w:r>
              <w:rPr>
                <w:rFonts w:hint="eastAsia"/>
                <w:b w:val="0"/>
                <w:bCs w:val="0"/>
                <w:sz w:val="24"/>
                <w:szCs w:val="24"/>
                <w:vertAlign w:val="baseline"/>
                <w:lang w:val="en-US" w:eastAsia="zh-CN"/>
              </w:rPr>
              <w:t>2</w:t>
            </w:r>
          </w:p>
        </w:tc>
        <w:tc>
          <w:tcPr>
            <w:tcW w:w="4407" w:type="dxa"/>
            <w:vAlign w:val="top"/>
          </w:tcPr>
          <w:p>
            <w:pPr>
              <w:pStyle w:val="13"/>
              <w:numPr>
                <w:ilvl w:val="0"/>
                <w:numId w:val="0"/>
              </w:numPr>
              <w:bidi w:val="0"/>
              <w:ind w:left="0" w:leftChars="0" w:firstLine="0" w:firstLineChars="0"/>
              <w:rPr>
                <w:rFonts w:hint="eastAsia"/>
                <w:sz w:val="24"/>
                <w:szCs w:val="24"/>
                <w:vertAlign w:val="baseline"/>
                <w:lang w:val="en-US" w:eastAsia="zh-CN"/>
              </w:rPr>
            </w:pPr>
            <w:r>
              <w:rPr>
                <w:rFonts w:hint="eastAsia"/>
                <w:b w:val="0"/>
                <w:bCs w:val="0"/>
                <w:sz w:val="24"/>
                <w:szCs w:val="24"/>
                <w:vertAlign w:val="baseline"/>
                <w:lang w:val="en-US" w:eastAsia="zh-CN"/>
              </w:rPr>
              <w:t>工作站</w:t>
            </w:r>
          </w:p>
        </w:tc>
        <w:tc>
          <w:tcPr>
            <w:tcW w:w="2009" w:type="dxa"/>
          </w:tcPr>
          <w:p>
            <w:pPr>
              <w:pStyle w:val="13"/>
              <w:numPr>
                <w:ilvl w:val="0"/>
                <w:numId w:val="0"/>
              </w:numPr>
              <w:bidi w:val="0"/>
              <w:jc w:val="left"/>
              <w:rPr>
                <w:rFonts w:hint="eastAsia"/>
                <w:sz w:val="24"/>
                <w:szCs w:val="24"/>
                <w:vertAlign w:val="baseline"/>
                <w:lang w:val="en-US" w:eastAsia="zh-CN"/>
              </w:rPr>
            </w:pPr>
          </w:p>
        </w:tc>
        <w:tc>
          <w:tcPr>
            <w:tcW w:w="1389" w:type="dxa"/>
          </w:tcPr>
          <w:p>
            <w:pPr>
              <w:pStyle w:val="13"/>
              <w:numPr>
                <w:ilvl w:val="0"/>
                <w:numId w:val="0"/>
              </w:numPr>
              <w:bidi w:val="0"/>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5" w:type="dxa"/>
            <w:vAlign w:val="top"/>
          </w:tcPr>
          <w:p>
            <w:pPr>
              <w:pStyle w:val="13"/>
              <w:numPr>
                <w:ilvl w:val="0"/>
                <w:numId w:val="0"/>
              </w:numPr>
              <w:bidi w:val="0"/>
              <w:ind w:left="0" w:leftChars="0" w:firstLine="0" w:firstLineChars="0"/>
              <w:rPr>
                <w:rFonts w:hint="default"/>
                <w:sz w:val="24"/>
                <w:szCs w:val="24"/>
                <w:vertAlign w:val="baseline"/>
                <w:lang w:val="en-US" w:eastAsia="zh-CN"/>
              </w:rPr>
            </w:pPr>
            <w:r>
              <w:rPr>
                <w:rFonts w:hint="eastAsia"/>
                <w:b w:val="0"/>
                <w:bCs w:val="0"/>
                <w:sz w:val="24"/>
                <w:szCs w:val="24"/>
                <w:vertAlign w:val="baseline"/>
                <w:lang w:val="en-US" w:eastAsia="zh-CN"/>
              </w:rPr>
              <w:t>3</w:t>
            </w:r>
          </w:p>
        </w:tc>
        <w:tc>
          <w:tcPr>
            <w:tcW w:w="4407" w:type="dxa"/>
            <w:vAlign w:val="top"/>
          </w:tcPr>
          <w:p>
            <w:pPr>
              <w:pStyle w:val="13"/>
              <w:numPr>
                <w:ilvl w:val="0"/>
                <w:numId w:val="0"/>
              </w:numPr>
              <w:bidi w:val="0"/>
              <w:ind w:left="0" w:leftChars="0" w:firstLine="0" w:firstLineChars="0"/>
              <w:rPr>
                <w:rFonts w:hint="eastAsia"/>
                <w:sz w:val="24"/>
                <w:szCs w:val="24"/>
                <w:vertAlign w:val="baseline"/>
                <w:lang w:val="en-US" w:eastAsia="zh-CN"/>
              </w:rPr>
            </w:pPr>
            <w:r>
              <w:rPr>
                <w:rFonts w:hint="eastAsia"/>
                <w:b w:val="0"/>
                <w:bCs w:val="0"/>
                <w:sz w:val="24"/>
                <w:szCs w:val="24"/>
                <w:vertAlign w:val="baseline"/>
                <w:lang w:val="en-US" w:eastAsia="zh-CN"/>
              </w:rPr>
              <w:t>LIS接口费</w:t>
            </w:r>
          </w:p>
        </w:tc>
        <w:tc>
          <w:tcPr>
            <w:tcW w:w="2009" w:type="dxa"/>
          </w:tcPr>
          <w:p>
            <w:pPr>
              <w:pStyle w:val="13"/>
              <w:numPr>
                <w:ilvl w:val="0"/>
                <w:numId w:val="0"/>
              </w:numPr>
              <w:bidi w:val="0"/>
              <w:jc w:val="left"/>
              <w:rPr>
                <w:rFonts w:hint="eastAsia"/>
                <w:sz w:val="24"/>
                <w:szCs w:val="24"/>
                <w:vertAlign w:val="baseline"/>
                <w:lang w:val="en-US" w:eastAsia="zh-CN"/>
              </w:rPr>
            </w:pPr>
          </w:p>
        </w:tc>
        <w:tc>
          <w:tcPr>
            <w:tcW w:w="1389" w:type="dxa"/>
          </w:tcPr>
          <w:p>
            <w:pPr>
              <w:pStyle w:val="13"/>
              <w:numPr>
                <w:ilvl w:val="0"/>
                <w:numId w:val="0"/>
              </w:numPr>
              <w:bidi w:val="0"/>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pStyle w:val="13"/>
              <w:numPr>
                <w:ilvl w:val="0"/>
                <w:numId w:val="0"/>
              </w:numPr>
              <w:bidi w:val="0"/>
              <w:jc w:val="left"/>
              <w:rPr>
                <w:rFonts w:hint="default"/>
                <w:sz w:val="24"/>
                <w:szCs w:val="24"/>
                <w:vertAlign w:val="baseline"/>
                <w:lang w:val="en-US" w:eastAsia="zh-CN"/>
              </w:rPr>
            </w:pPr>
          </w:p>
        </w:tc>
        <w:tc>
          <w:tcPr>
            <w:tcW w:w="4407" w:type="dxa"/>
          </w:tcPr>
          <w:p>
            <w:pPr>
              <w:pStyle w:val="13"/>
              <w:numPr>
                <w:ilvl w:val="0"/>
                <w:numId w:val="0"/>
              </w:numPr>
              <w:bidi w:val="0"/>
              <w:jc w:val="left"/>
              <w:rPr>
                <w:rFonts w:hint="default"/>
                <w:sz w:val="24"/>
                <w:szCs w:val="24"/>
                <w:vertAlign w:val="baseline"/>
                <w:lang w:val="en-US" w:eastAsia="zh-CN"/>
              </w:rPr>
            </w:pPr>
            <w:r>
              <w:rPr>
                <w:rFonts w:hint="eastAsia"/>
                <w:sz w:val="24"/>
                <w:szCs w:val="24"/>
                <w:vertAlign w:val="baseline"/>
                <w:lang w:val="en-US" w:eastAsia="zh-CN"/>
              </w:rPr>
              <w:t>质保期</w:t>
            </w:r>
          </w:p>
        </w:tc>
        <w:tc>
          <w:tcPr>
            <w:tcW w:w="2009" w:type="dxa"/>
          </w:tcPr>
          <w:p>
            <w:pPr>
              <w:pStyle w:val="13"/>
              <w:numPr>
                <w:ilvl w:val="0"/>
                <w:numId w:val="0"/>
              </w:numPr>
              <w:bidi w:val="0"/>
              <w:jc w:val="left"/>
              <w:rPr>
                <w:rFonts w:hint="eastAsia"/>
                <w:sz w:val="24"/>
                <w:szCs w:val="24"/>
                <w:vertAlign w:val="baseline"/>
                <w:lang w:val="en-US" w:eastAsia="zh-CN"/>
              </w:rPr>
            </w:pPr>
          </w:p>
        </w:tc>
        <w:tc>
          <w:tcPr>
            <w:tcW w:w="1389" w:type="dxa"/>
          </w:tcPr>
          <w:p>
            <w:pPr>
              <w:pStyle w:val="13"/>
              <w:numPr>
                <w:ilvl w:val="0"/>
                <w:numId w:val="0"/>
              </w:numPr>
              <w:bidi w:val="0"/>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pStyle w:val="13"/>
              <w:numPr>
                <w:ilvl w:val="0"/>
                <w:numId w:val="0"/>
              </w:numPr>
              <w:bidi w:val="0"/>
              <w:jc w:val="left"/>
              <w:rPr>
                <w:rFonts w:hint="default"/>
                <w:sz w:val="24"/>
                <w:szCs w:val="24"/>
                <w:vertAlign w:val="baseline"/>
                <w:lang w:val="en-US" w:eastAsia="zh-CN"/>
              </w:rPr>
            </w:pPr>
            <w:r>
              <w:rPr>
                <w:rFonts w:hint="eastAsia"/>
                <w:sz w:val="24"/>
                <w:szCs w:val="24"/>
                <w:vertAlign w:val="baseline"/>
                <w:lang w:val="en-US" w:eastAsia="zh-CN"/>
              </w:rPr>
              <w:t>1</w:t>
            </w:r>
          </w:p>
        </w:tc>
        <w:tc>
          <w:tcPr>
            <w:tcW w:w="4407" w:type="dxa"/>
          </w:tcPr>
          <w:p>
            <w:pPr>
              <w:pStyle w:val="13"/>
              <w:numPr>
                <w:ilvl w:val="0"/>
                <w:numId w:val="0"/>
              </w:numPr>
              <w:bidi w:val="0"/>
              <w:jc w:val="left"/>
              <w:rPr>
                <w:rFonts w:hint="default"/>
                <w:sz w:val="24"/>
                <w:szCs w:val="24"/>
                <w:vertAlign w:val="baseline"/>
                <w:lang w:val="en-US" w:eastAsia="zh-CN"/>
              </w:rPr>
            </w:pPr>
            <w:r>
              <w:rPr>
                <w:rFonts w:hint="eastAsia"/>
                <w:sz w:val="24"/>
                <w:szCs w:val="24"/>
                <w:vertAlign w:val="baseline"/>
                <w:lang w:val="en-US" w:eastAsia="zh-CN"/>
              </w:rPr>
              <w:t>终身质保</w:t>
            </w:r>
          </w:p>
        </w:tc>
        <w:tc>
          <w:tcPr>
            <w:tcW w:w="2009" w:type="dxa"/>
          </w:tcPr>
          <w:p>
            <w:pPr>
              <w:pStyle w:val="13"/>
              <w:numPr>
                <w:ilvl w:val="0"/>
                <w:numId w:val="0"/>
              </w:numPr>
              <w:bidi w:val="0"/>
              <w:jc w:val="left"/>
              <w:rPr>
                <w:rFonts w:hint="eastAsia"/>
                <w:sz w:val="24"/>
                <w:szCs w:val="24"/>
                <w:vertAlign w:val="baseline"/>
                <w:lang w:val="en-US" w:eastAsia="zh-CN"/>
              </w:rPr>
            </w:pPr>
          </w:p>
        </w:tc>
        <w:tc>
          <w:tcPr>
            <w:tcW w:w="1389" w:type="dxa"/>
          </w:tcPr>
          <w:p>
            <w:pPr>
              <w:pStyle w:val="13"/>
              <w:numPr>
                <w:ilvl w:val="0"/>
                <w:numId w:val="0"/>
              </w:numPr>
              <w:bidi w:val="0"/>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pStyle w:val="13"/>
              <w:numPr>
                <w:ilvl w:val="0"/>
                <w:numId w:val="0"/>
              </w:numPr>
              <w:bidi w:val="0"/>
              <w:jc w:val="left"/>
              <w:rPr>
                <w:rFonts w:hint="eastAsia"/>
                <w:sz w:val="24"/>
                <w:szCs w:val="24"/>
                <w:vertAlign w:val="baseline"/>
                <w:lang w:val="en-US" w:eastAsia="zh-CN"/>
              </w:rPr>
            </w:pPr>
          </w:p>
        </w:tc>
        <w:tc>
          <w:tcPr>
            <w:tcW w:w="4407" w:type="dxa"/>
          </w:tcPr>
          <w:p>
            <w:pPr>
              <w:pStyle w:val="13"/>
              <w:numPr>
                <w:ilvl w:val="0"/>
                <w:numId w:val="0"/>
              </w:numPr>
              <w:bidi w:val="0"/>
              <w:jc w:val="left"/>
              <w:rPr>
                <w:rFonts w:hint="default"/>
                <w:sz w:val="24"/>
                <w:szCs w:val="24"/>
                <w:vertAlign w:val="baseline"/>
                <w:lang w:val="en-US" w:eastAsia="zh-CN"/>
              </w:rPr>
            </w:pPr>
            <w:r>
              <w:rPr>
                <w:rFonts w:hint="eastAsia"/>
                <w:sz w:val="24"/>
                <w:szCs w:val="24"/>
                <w:vertAlign w:val="baseline"/>
                <w:lang w:val="en-US" w:eastAsia="zh-CN"/>
              </w:rPr>
              <w:t>其他</w:t>
            </w:r>
          </w:p>
        </w:tc>
        <w:tc>
          <w:tcPr>
            <w:tcW w:w="2009" w:type="dxa"/>
          </w:tcPr>
          <w:p>
            <w:pPr>
              <w:pStyle w:val="13"/>
              <w:numPr>
                <w:ilvl w:val="0"/>
                <w:numId w:val="0"/>
              </w:numPr>
              <w:bidi w:val="0"/>
              <w:jc w:val="left"/>
              <w:rPr>
                <w:rFonts w:hint="eastAsia"/>
                <w:sz w:val="24"/>
                <w:szCs w:val="24"/>
                <w:vertAlign w:val="baseline"/>
                <w:lang w:val="en-US" w:eastAsia="zh-CN"/>
              </w:rPr>
            </w:pPr>
          </w:p>
        </w:tc>
        <w:tc>
          <w:tcPr>
            <w:tcW w:w="1389" w:type="dxa"/>
          </w:tcPr>
          <w:p>
            <w:pPr>
              <w:pStyle w:val="13"/>
              <w:numPr>
                <w:ilvl w:val="0"/>
                <w:numId w:val="0"/>
              </w:numPr>
              <w:bidi w:val="0"/>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pStyle w:val="13"/>
              <w:numPr>
                <w:ilvl w:val="0"/>
                <w:numId w:val="0"/>
              </w:numPr>
              <w:bidi w:val="0"/>
              <w:jc w:val="left"/>
              <w:rPr>
                <w:rFonts w:hint="default"/>
                <w:sz w:val="24"/>
                <w:szCs w:val="24"/>
                <w:vertAlign w:val="baseline"/>
                <w:lang w:val="en-US" w:eastAsia="zh-CN"/>
              </w:rPr>
            </w:pPr>
            <w:r>
              <w:rPr>
                <w:rFonts w:hint="eastAsia"/>
                <w:sz w:val="24"/>
                <w:szCs w:val="24"/>
                <w:vertAlign w:val="baseline"/>
                <w:lang w:val="en-US" w:eastAsia="zh-CN"/>
              </w:rPr>
              <w:t>1</w:t>
            </w:r>
          </w:p>
        </w:tc>
        <w:tc>
          <w:tcPr>
            <w:tcW w:w="4407" w:type="dxa"/>
          </w:tcPr>
          <w:p>
            <w:pPr>
              <w:pStyle w:val="13"/>
              <w:numPr>
                <w:ilvl w:val="0"/>
                <w:numId w:val="0"/>
              </w:numPr>
              <w:bidi w:val="0"/>
              <w:jc w:val="left"/>
              <w:rPr>
                <w:rFonts w:hint="default"/>
                <w:sz w:val="24"/>
                <w:szCs w:val="24"/>
                <w:vertAlign w:val="baseline"/>
                <w:lang w:val="en-US" w:eastAsia="zh-CN"/>
              </w:rPr>
            </w:pPr>
            <w:r>
              <w:rPr>
                <w:rFonts w:hint="eastAsia"/>
                <w:sz w:val="24"/>
                <w:szCs w:val="24"/>
                <w:vertAlign w:val="baseline"/>
                <w:lang w:val="en-US" w:eastAsia="zh-CN"/>
              </w:rPr>
              <w:t>随设备增配等额试剂</w:t>
            </w:r>
          </w:p>
        </w:tc>
        <w:tc>
          <w:tcPr>
            <w:tcW w:w="2009" w:type="dxa"/>
          </w:tcPr>
          <w:p>
            <w:pPr>
              <w:pStyle w:val="13"/>
              <w:numPr>
                <w:ilvl w:val="0"/>
                <w:numId w:val="0"/>
              </w:numPr>
              <w:bidi w:val="0"/>
              <w:jc w:val="left"/>
              <w:rPr>
                <w:rFonts w:hint="eastAsia"/>
                <w:sz w:val="24"/>
                <w:szCs w:val="24"/>
                <w:vertAlign w:val="baseline"/>
                <w:lang w:val="en-US" w:eastAsia="zh-CN"/>
              </w:rPr>
            </w:pPr>
          </w:p>
        </w:tc>
        <w:tc>
          <w:tcPr>
            <w:tcW w:w="1389" w:type="dxa"/>
          </w:tcPr>
          <w:p>
            <w:pPr>
              <w:pStyle w:val="13"/>
              <w:numPr>
                <w:ilvl w:val="0"/>
                <w:numId w:val="0"/>
              </w:numPr>
              <w:bidi w:val="0"/>
              <w:jc w:val="left"/>
              <w:rPr>
                <w:rFonts w:hint="eastAsia"/>
                <w:sz w:val="24"/>
                <w:szCs w:val="24"/>
                <w:vertAlign w:val="baseline"/>
                <w:lang w:val="en-US" w:eastAsia="zh-CN"/>
              </w:rPr>
            </w:pPr>
          </w:p>
        </w:tc>
      </w:tr>
    </w:tbl>
    <w:p>
      <w:pPr>
        <w:pStyle w:val="7"/>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5E3FE"/>
    <w:multiLevelType w:val="singleLevel"/>
    <w:tmpl w:val="8125E3FE"/>
    <w:lvl w:ilvl="0" w:tentative="0">
      <w:start w:val="2"/>
      <w:numFmt w:val="decimal"/>
      <w:lvlText w:val="%1."/>
      <w:lvlJc w:val="left"/>
      <w:pPr>
        <w:tabs>
          <w:tab w:val="left" w:pos="312"/>
        </w:tabs>
      </w:pPr>
    </w:lvl>
  </w:abstractNum>
  <w:abstractNum w:abstractNumId="1">
    <w:nsid w:val="2C9F9359"/>
    <w:multiLevelType w:val="singleLevel"/>
    <w:tmpl w:val="2C9F935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GNjNDExODIyYThhNTVlYTk2YjU5YmFhMDNlYzYifQ=="/>
  </w:docVars>
  <w:rsids>
    <w:rsidRoot w:val="00000000"/>
    <w:rsid w:val="036A0409"/>
    <w:rsid w:val="1D0724F3"/>
    <w:rsid w:val="1F3C5CA3"/>
    <w:rsid w:val="20BB00C3"/>
    <w:rsid w:val="329712AB"/>
    <w:rsid w:val="36967E1B"/>
    <w:rsid w:val="4040627D"/>
    <w:rsid w:val="4C94035F"/>
    <w:rsid w:val="4F5C56A8"/>
    <w:rsid w:val="5C6F24DD"/>
    <w:rsid w:val="5F78640A"/>
    <w:rsid w:val="5F886B20"/>
    <w:rsid w:val="648967FC"/>
    <w:rsid w:val="67B52EC0"/>
    <w:rsid w:val="728A1C7D"/>
    <w:rsid w:val="792E0A29"/>
    <w:rsid w:val="7CC65F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autoRedefine/>
    <w:qFormat/>
    <w:uiPriority w:val="0"/>
    <w:pPr>
      <w:keepNext/>
      <w:keepLines/>
      <w:spacing w:line="540" w:lineRule="atLeast"/>
      <w:outlineLvl w:val="3"/>
    </w:pPr>
    <w:rPr>
      <w:sz w:val="28"/>
      <w:szCs w:val="28"/>
    </w:rPr>
  </w:style>
  <w:style w:type="character" w:default="1" w:styleId="10">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rPr>
      <w:sz w:val="24"/>
    </w:rPr>
  </w:style>
  <w:style w:type="paragraph" w:styleId="4">
    <w:name w:val="Body Text Indent"/>
    <w:basedOn w:val="1"/>
    <w:autoRedefine/>
    <w:qFormat/>
    <w:uiPriority w:val="0"/>
    <w:pPr>
      <w:ind w:left="480" w:hanging="480" w:hangingChars="200"/>
    </w:pPr>
    <w:rPr>
      <w:sz w:val="24"/>
    </w:rPr>
  </w:style>
  <w:style w:type="paragraph" w:styleId="5">
    <w:name w:val="Plain Text"/>
    <w:basedOn w:val="1"/>
    <w:next w:val="1"/>
    <w:autoRedefine/>
    <w:qFormat/>
    <w:uiPriority w:val="0"/>
    <w:rPr>
      <w:rFonts w:ascii="宋体" w:hAnsi="Courier New" w:cs="Courier New"/>
      <w:szCs w:val="21"/>
    </w:rPr>
  </w:style>
  <w:style w:type="paragraph" w:styleId="6">
    <w:name w:val="Normal (Web)"/>
    <w:basedOn w:val="1"/>
    <w:autoRedefine/>
    <w:qFormat/>
    <w:uiPriority w:val="0"/>
    <w:rPr>
      <w:sz w:val="24"/>
    </w:rPr>
  </w:style>
  <w:style w:type="paragraph" w:styleId="7">
    <w:name w:val="Body Text First Indent"/>
    <w:basedOn w:val="3"/>
    <w:next w:val="1"/>
    <w:autoRedefine/>
    <w:qFormat/>
    <w:uiPriority w:val="0"/>
    <w:pPr>
      <w:tabs>
        <w:tab w:val="left" w:pos="208"/>
      </w:tabs>
      <w:ind w:firstLine="420" w:firstLineChars="100"/>
    </w:p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paragraph" w:customStyle="1" w:styleId="12">
    <w:name w:val="首行缩进"/>
    <w:basedOn w:val="1"/>
    <w:autoRedefine/>
    <w:qFormat/>
    <w:uiPriority w:val="0"/>
    <w:pPr>
      <w:ind w:firstLine="480" w:firstLineChars="200"/>
    </w:pPr>
    <w:rPr>
      <w:lang w:val="zh-CN"/>
    </w:rPr>
  </w:style>
  <w:style w:type="paragraph" w:customStyle="1" w:styleId="13">
    <w:name w:val="List Paragraph"/>
    <w:basedOn w:val="1"/>
    <w:autoRedefine/>
    <w:qFormat/>
    <w:uiPriority w:val="0"/>
    <w:pPr>
      <w:ind w:firstLine="420" w:firstLineChars="200"/>
    </w:pPr>
  </w:style>
  <w:style w:type="paragraph" w:customStyle="1" w:styleId="14">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5">
    <w:name w:val="Table Normal"/>
    <w:autoRedefine/>
    <w:unhideWhenUsed/>
    <w:qFormat/>
    <w:uiPriority w:val="0"/>
    <w:tblPr>
      <w:tblCellMar>
        <w:top w:w="0" w:type="dxa"/>
        <w:left w:w="0" w:type="dxa"/>
        <w:bottom w:w="0" w:type="dxa"/>
        <w:right w:w="0" w:type="dxa"/>
      </w:tblCellMar>
    </w:tblPr>
  </w:style>
  <w:style w:type="character" w:customStyle="1" w:styleId="16">
    <w:name w:val="font21"/>
    <w:basedOn w:val="10"/>
    <w:autoRedefine/>
    <w:qFormat/>
    <w:uiPriority w:val="0"/>
    <w:rPr>
      <w:rFonts w:hint="eastAsia" w:ascii="宋体" w:hAnsi="宋体" w:eastAsia="宋体" w:cs="宋体"/>
      <w:color w:val="000000"/>
      <w:sz w:val="24"/>
      <w:szCs w:val="24"/>
      <w:u w:val="none"/>
    </w:rPr>
  </w:style>
  <w:style w:type="character" w:customStyle="1" w:styleId="17">
    <w:name w:val="font11"/>
    <w:basedOn w:val="10"/>
    <w:autoRedefine/>
    <w:qFormat/>
    <w:uiPriority w:val="0"/>
    <w:rPr>
      <w:rFonts w:hint="default" w:ascii="Calibri" w:hAnsi="Calibri" w:cs="Calibri"/>
      <w:color w:val="000000"/>
      <w:sz w:val="24"/>
      <w:szCs w:val="24"/>
      <w:u w:val="none"/>
    </w:rPr>
  </w:style>
  <w:style w:type="paragraph" w:customStyle="1" w:styleId="18">
    <w:name w:val="Table Text"/>
    <w:basedOn w:val="1"/>
    <w:autoRedefine/>
    <w:semiHidden/>
    <w:qFormat/>
    <w:uiPriority w:val="0"/>
    <w:rPr>
      <w:rFonts w:ascii="仿宋" w:hAnsi="仿宋" w:eastAsia="仿宋" w:cs="仿宋"/>
      <w:sz w:val="19"/>
      <w:szCs w:val="19"/>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1340</Words>
  <Characters>1447</Characters>
  <Lines>0</Lines>
  <Paragraphs>0</Paragraphs>
  <TotalTime>5</TotalTime>
  <ScaleCrop>false</ScaleCrop>
  <LinksUpToDate>false</LinksUpToDate>
  <CharactersWithSpaces>1863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2023-06-25T15:00:00Z</dcterms:created>
  <dc:creator>12541</dc:creator>
  <cp:lastModifiedBy>bigoofeet</cp:lastModifiedBy>
  <cp:lastPrinted>2023-07-12T16:47:00Z</cp:lastPrinted>
  <dcterms:modified xsi:type="dcterms:W3CDTF">2024-01-15T07:53:04Z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2598D318DFD84CB9A7A6ED6EDCD9528C_13</vt:lpwstr>
  </property>
</Properties>
</file>